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right" w:tblpY="1634"/>
        <w:tblW w:w="14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11"/>
        <w:gridCol w:w="4719"/>
        <w:gridCol w:w="4925"/>
      </w:tblGrid>
      <w:tr w:rsidR="00082409" w:rsidRPr="00243755" w14:paraId="4B6E431D" w14:textId="77777777" w:rsidTr="00082409">
        <w:trPr>
          <w:trHeight w:val="2704"/>
        </w:trPr>
        <w:tc>
          <w:tcPr>
            <w:tcW w:w="4711" w:type="dxa"/>
            <w:shd w:val="clear" w:color="auto" w:fill="auto"/>
          </w:tcPr>
          <w:p w14:paraId="26F291AC" w14:textId="77777777" w:rsidR="00082409" w:rsidRPr="00082409" w:rsidRDefault="00082409" w:rsidP="00082409">
            <w:pPr>
              <w:spacing w:before="240" w:line="720" w:lineRule="auto"/>
              <w:jc w:val="center"/>
              <w:rPr>
                <w:rFonts w:ascii="Twinkl" w:eastAsia="Calibri" w:hAnsi="Twinkl"/>
                <w:sz w:val="36"/>
                <w:szCs w:val="36"/>
              </w:rPr>
            </w:pPr>
            <w:r w:rsidRPr="00082409">
              <w:rPr>
                <w:rFonts w:ascii="Twinkl" w:eastAsia="Calibri" w:hAnsi="Twinkl"/>
                <w:sz w:val="36"/>
                <w:szCs w:val="36"/>
              </w:rPr>
              <w:t>Stone Age periods</w:t>
            </w:r>
          </w:p>
        </w:tc>
        <w:tc>
          <w:tcPr>
            <w:tcW w:w="4719" w:type="dxa"/>
            <w:shd w:val="clear" w:color="auto" w:fill="auto"/>
          </w:tcPr>
          <w:p w14:paraId="42CB3D84" w14:textId="77777777" w:rsidR="00082409" w:rsidRPr="00082409" w:rsidRDefault="00082409" w:rsidP="00082409">
            <w:pPr>
              <w:spacing w:before="240" w:line="720" w:lineRule="auto"/>
              <w:jc w:val="center"/>
              <w:rPr>
                <w:rFonts w:ascii="Twinkl" w:eastAsia="Calibri" w:hAnsi="Twinkl"/>
                <w:sz w:val="36"/>
                <w:szCs w:val="36"/>
              </w:rPr>
            </w:pPr>
            <w:r w:rsidRPr="00082409">
              <w:rPr>
                <w:rFonts w:ascii="Twinkl" w:eastAsia="Calibri" w:hAnsi="Twinkl"/>
                <w:sz w:val="36"/>
                <w:szCs w:val="36"/>
              </w:rPr>
              <w:t>Hunter-gatherers &amp; survival</w:t>
            </w:r>
          </w:p>
        </w:tc>
        <w:tc>
          <w:tcPr>
            <w:tcW w:w="4925" w:type="dxa"/>
            <w:shd w:val="clear" w:color="auto" w:fill="auto"/>
          </w:tcPr>
          <w:p w14:paraId="0A03B61E" w14:textId="77777777" w:rsidR="00082409" w:rsidRPr="00082409" w:rsidRDefault="00082409" w:rsidP="00082409">
            <w:pPr>
              <w:spacing w:before="240" w:line="720" w:lineRule="auto"/>
              <w:jc w:val="center"/>
              <w:rPr>
                <w:rFonts w:ascii="Twinkl" w:eastAsia="Calibri" w:hAnsi="Twinkl"/>
                <w:sz w:val="36"/>
                <w:szCs w:val="36"/>
              </w:rPr>
            </w:pPr>
            <w:r w:rsidRPr="00082409">
              <w:rPr>
                <w:rFonts w:ascii="Twinkl" w:eastAsia="Calibri" w:hAnsi="Twinkl"/>
                <w:sz w:val="36"/>
                <w:szCs w:val="36"/>
              </w:rPr>
              <w:t>Artefacts &amp; archaeology</w:t>
            </w:r>
          </w:p>
        </w:tc>
      </w:tr>
      <w:tr w:rsidR="00082409" w:rsidRPr="00243755" w14:paraId="3E85A4C3" w14:textId="77777777" w:rsidTr="00082409">
        <w:trPr>
          <w:trHeight w:val="2201"/>
        </w:trPr>
        <w:tc>
          <w:tcPr>
            <w:tcW w:w="4711" w:type="dxa"/>
            <w:tcBorders>
              <w:bottom w:val="single" w:sz="4" w:space="0" w:color="auto"/>
            </w:tcBorders>
            <w:shd w:val="clear" w:color="auto" w:fill="auto"/>
          </w:tcPr>
          <w:p w14:paraId="60117B70" w14:textId="77777777" w:rsidR="00082409" w:rsidRPr="00082409" w:rsidRDefault="00082409" w:rsidP="00082409">
            <w:pPr>
              <w:spacing w:before="240" w:line="720" w:lineRule="auto"/>
              <w:jc w:val="center"/>
              <w:rPr>
                <w:rFonts w:ascii="Twinkl" w:eastAsia="Calibri" w:hAnsi="Twinkl"/>
                <w:sz w:val="36"/>
                <w:szCs w:val="36"/>
              </w:rPr>
            </w:pPr>
            <w:r w:rsidRPr="00082409">
              <w:rPr>
                <w:rFonts w:ascii="Twinkl" w:eastAsia="Calibri" w:hAnsi="Twinkl"/>
                <w:sz w:val="36"/>
                <w:szCs w:val="36"/>
              </w:rPr>
              <w:t>Stone Age tools</w:t>
            </w:r>
          </w:p>
        </w:tc>
        <w:tc>
          <w:tcPr>
            <w:tcW w:w="4719" w:type="dxa"/>
            <w:tcBorders>
              <w:bottom w:val="single" w:sz="4" w:space="0" w:color="auto"/>
            </w:tcBorders>
            <w:shd w:val="clear" w:color="auto" w:fill="auto"/>
          </w:tcPr>
          <w:p w14:paraId="19B9519B" w14:textId="77777777" w:rsidR="00082409" w:rsidRPr="00082409" w:rsidRDefault="00082409" w:rsidP="00082409">
            <w:pPr>
              <w:spacing w:before="240" w:line="720" w:lineRule="auto"/>
              <w:jc w:val="center"/>
              <w:rPr>
                <w:rFonts w:ascii="Twinkl" w:eastAsia="Calibri" w:hAnsi="Twinkl"/>
                <w:sz w:val="36"/>
                <w:szCs w:val="36"/>
              </w:rPr>
            </w:pPr>
            <w:r w:rsidRPr="00082409">
              <w:rPr>
                <w:rFonts w:ascii="Twinkl" w:eastAsia="Calibri" w:hAnsi="Twinkl"/>
                <w:sz w:val="36"/>
                <w:szCs w:val="36"/>
              </w:rPr>
              <w:t>Farming &amp; settlements</w:t>
            </w:r>
          </w:p>
        </w:tc>
        <w:tc>
          <w:tcPr>
            <w:tcW w:w="4925" w:type="dxa"/>
            <w:tcBorders>
              <w:bottom w:val="single" w:sz="4" w:space="0" w:color="auto"/>
            </w:tcBorders>
            <w:shd w:val="clear" w:color="auto" w:fill="auto"/>
          </w:tcPr>
          <w:p w14:paraId="757C5995" w14:textId="77777777" w:rsidR="00082409" w:rsidRPr="00082409" w:rsidRDefault="00082409" w:rsidP="00082409">
            <w:pPr>
              <w:spacing w:before="240" w:line="720" w:lineRule="auto"/>
              <w:jc w:val="center"/>
              <w:rPr>
                <w:rFonts w:ascii="Twinkl" w:eastAsia="Calibri" w:hAnsi="Twinkl"/>
                <w:sz w:val="36"/>
                <w:szCs w:val="36"/>
              </w:rPr>
            </w:pPr>
            <w:r w:rsidRPr="00082409">
              <w:rPr>
                <w:rFonts w:ascii="Twinkl" w:eastAsia="Calibri" w:hAnsi="Twinkl"/>
                <w:sz w:val="36"/>
                <w:szCs w:val="36"/>
              </w:rPr>
              <w:t>Skara Brae &amp; homes</w:t>
            </w:r>
          </w:p>
        </w:tc>
      </w:tr>
      <w:tr w:rsidR="00082409" w:rsidRPr="00243755" w14:paraId="52795DF0" w14:textId="77777777" w:rsidTr="00082409">
        <w:trPr>
          <w:trHeight w:val="2456"/>
        </w:trPr>
        <w:tc>
          <w:tcPr>
            <w:tcW w:w="4711" w:type="dxa"/>
            <w:tcBorders>
              <w:bottom w:val="single" w:sz="4" w:space="0" w:color="auto"/>
            </w:tcBorders>
            <w:shd w:val="clear" w:color="auto" w:fill="auto"/>
          </w:tcPr>
          <w:p w14:paraId="280E9B97" w14:textId="77777777" w:rsidR="00082409" w:rsidRPr="00082409" w:rsidRDefault="00082409" w:rsidP="00082409">
            <w:pPr>
              <w:spacing w:before="240" w:line="720" w:lineRule="auto"/>
              <w:jc w:val="center"/>
              <w:rPr>
                <w:rFonts w:ascii="Twinkl" w:eastAsia="Calibri" w:hAnsi="Twinkl"/>
                <w:sz w:val="36"/>
                <w:szCs w:val="36"/>
              </w:rPr>
            </w:pPr>
            <w:r w:rsidRPr="00082409">
              <w:rPr>
                <w:rFonts w:ascii="Twinkl" w:eastAsia="Calibri" w:hAnsi="Twinkl"/>
                <w:sz w:val="36"/>
                <w:szCs w:val="36"/>
              </w:rPr>
              <w:t>Stone Age art</w:t>
            </w:r>
          </w:p>
        </w:tc>
        <w:tc>
          <w:tcPr>
            <w:tcW w:w="4719" w:type="dxa"/>
            <w:tcBorders>
              <w:bottom w:val="single" w:sz="4" w:space="0" w:color="auto"/>
            </w:tcBorders>
            <w:shd w:val="clear" w:color="auto" w:fill="auto"/>
          </w:tcPr>
          <w:p w14:paraId="31FA0EFE" w14:textId="1F24D15A" w:rsidR="00082409" w:rsidRPr="00082409" w:rsidRDefault="00082409" w:rsidP="00082409">
            <w:pPr>
              <w:spacing w:before="240" w:line="720" w:lineRule="auto"/>
              <w:jc w:val="center"/>
              <w:rPr>
                <w:rFonts w:ascii="Twinkl" w:eastAsia="Calibri" w:hAnsi="Twinkl"/>
                <w:sz w:val="36"/>
                <w:szCs w:val="36"/>
              </w:rPr>
            </w:pPr>
            <w:r w:rsidRPr="00082409">
              <w:rPr>
                <w:rFonts w:ascii="Twinkl" w:eastAsia="Calibri" w:hAnsi="Twinkl"/>
                <w:sz w:val="36"/>
                <w:szCs w:val="36"/>
              </w:rPr>
              <w:t>Burials &amp; beliefs – Paviland</w:t>
            </w:r>
          </w:p>
        </w:tc>
        <w:tc>
          <w:tcPr>
            <w:tcW w:w="4925" w:type="dxa"/>
            <w:tcBorders>
              <w:bottom w:val="single" w:sz="4" w:space="0" w:color="auto"/>
            </w:tcBorders>
            <w:shd w:val="clear" w:color="auto" w:fill="auto"/>
          </w:tcPr>
          <w:p w14:paraId="611DE224" w14:textId="77777777" w:rsidR="00082409" w:rsidRPr="00082409" w:rsidRDefault="00082409" w:rsidP="00082409">
            <w:pPr>
              <w:spacing w:before="240" w:line="720" w:lineRule="auto"/>
              <w:jc w:val="center"/>
              <w:rPr>
                <w:rFonts w:ascii="Twinkl" w:eastAsia="Calibri" w:hAnsi="Twinkl"/>
                <w:sz w:val="36"/>
                <w:szCs w:val="36"/>
              </w:rPr>
            </w:pPr>
            <w:r w:rsidRPr="00082409">
              <w:rPr>
                <w:rFonts w:ascii="Twinkl" w:eastAsia="Calibri" w:hAnsi="Twinkl"/>
                <w:sz w:val="36"/>
                <w:szCs w:val="36"/>
              </w:rPr>
              <w:t>Stonehenge</w:t>
            </w:r>
          </w:p>
        </w:tc>
      </w:tr>
    </w:tbl>
    <w:p w14:paraId="12729492" w14:textId="77777777" w:rsidR="00082409" w:rsidRDefault="00082409"/>
    <w:sectPr w:rsidR="00405F6A" w:rsidSect="00FC0BB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inkl">
    <w:panose1 w:val="02000000000000000000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BB0"/>
    <w:rsid w:val="00082409"/>
    <w:rsid w:val="000C18AC"/>
    <w:rsid w:val="000E2E7C"/>
    <w:rsid w:val="003A3AD1"/>
    <w:rsid w:val="00411C67"/>
    <w:rsid w:val="00FC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5DF042"/>
  <w15:chartTrackingRefBased/>
  <w15:docId w15:val="{E5FF94C8-43BE-44D7-8086-C9CB43271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0B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759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Hayley MacNeil</dc:creator>
  <cp:keywords/>
  <dc:description/>
  <cp:lastModifiedBy>Jenny Everitt</cp:lastModifiedBy>
  <cp:revision>2</cp:revision>
  <dcterms:created xsi:type="dcterms:W3CDTF">2024-07-17T13:33:00Z</dcterms:created>
  <dcterms:modified xsi:type="dcterms:W3CDTF">2026-09-14T16:44:00Z</dcterms:modified>
</cp:coreProperties>
</file>