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598D8" w14:textId="07C6EA55" w:rsidR="00D36548" w:rsidRPr="00D4383F" w:rsidRDefault="00D4383F">
      <w:pPr>
        <w:jc w:val="center"/>
        <w:rPr>
          <w:rFonts w:asciiTheme="majorHAnsi" w:hAnsiTheme="majorHAnsi" w:cstheme="majorHAnsi"/>
          <w:sz w:val="44"/>
          <w:szCs w:val="44"/>
        </w:rPr>
      </w:pPr>
      <w:r w:rsidRPr="00D4383F">
        <w:rPr>
          <w:rFonts w:asciiTheme="majorHAnsi" w:hAnsiTheme="majorHAnsi" w:cstheme="majorHAnsi"/>
          <w:b/>
          <w:sz w:val="44"/>
          <w:szCs w:val="44"/>
        </w:rPr>
        <w:t>MAYLANDSEA PRIMARY SCHOOL</w:t>
      </w:r>
    </w:p>
    <w:p w14:paraId="6805801E" w14:textId="77777777" w:rsidR="00D36548" w:rsidRPr="00D4383F" w:rsidRDefault="00D4383F">
      <w:pPr>
        <w:jc w:val="center"/>
        <w:rPr>
          <w:rFonts w:asciiTheme="majorHAnsi" w:hAnsiTheme="majorHAnsi" w:cstheme="majorHAnsi"/>
          <w:b/>
          <w:sz w:val="44"/>
          <w:szCs w:val="44"/>
        </w:rPr>
      </w:pPr>
      <w:r w:rsidRPr="00D4383F">
        <w:rPr>
          <w:rFonts w:asciiTheme="majorHAnsi" w:hAnsiTheme="majorHAnsi" w:cstheme="majorHAnsi"/>
          <w:b/>
          <w:sz w:val="44"/>
          <w:szCs w:val="44"/>
        </w:rPr>
        <w:t>Relationships, Sex Education (RSE)</w:t>
      </w:r>
      <w:r w:rsidRPr="00D4383F">
        <w:rPr>
          <w:rFonts w:asciiTheme="majorHAnsi" w:hAnsiTheme="majorHAnsi" w:cstheme="majorHAnsi"/>
          <w:b/>
          <w:sz w:val="44"/>
          <w:szCs w:val="44"/>
        </w:rPr>
        <w:br/>
        <w:t>and Health Education Policy</w:t>
      </w:r>
    </w:p>
    <w:p w14:paraId="57B80B39" w14:textId="77777777" w:rsidR="00D4383F" w:rsidRDefault="00D4383F">
      <w:pPr>
        <w:jc w:val="center"/>
        <w:rPr>
          <w:rFonts w:asciiTheme="majorHAnsi" w:hAnsiTheme="majorHAnsi" w:cstheme="majorHAnsi"/>
          <w:b/>
          <w:sz w:val="52"/>
          <w:szCs w:val="52"/>
        </w:rPr>
      </w:pPr>
    </w:p>
    <w:p w14:paraId="16753FF8" w14:textId="1831B519" w:rsidR="00D4383F" w:rsidRPr="00D4383F" w:rsidRDefault="00D4383F">
      <w:pPr>
        <w:jc w:val="center"/>
        <w:rPr>
          <w:rFonts w:asciiTheme="majorHAnsi" w:hAnsiTheme="majorHAnsi" w:cstheme="majorHAnsi"/>
          <w:sz w:val="52"/>
          <w:szCs w:val="52"/>
        </w:rPr>
      </w:pPr>
      <w:r>
        <w:rPr>
          <w:rFonts w:asciiTheme="majorHAnsi" w:hAnsiTheme="majorHAnsi" w:cstheme="majorHAnsi"/>
          <w:noProof/>
          <w:sz w:val="52"/>
          <w:szCs w:val="52"/>
        </w:rPr>
        <w:drawing>
          <wp:inline distT="0" distB="0" distL="0" distR="0" wp14:anchorId="45FD4278" wp14:editId="47964DBE">
            <wp:extent cx="3191320" cy="3077004"/>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3191320" cy="3077004"/>
                    </a:xfrm>
                    <a:prstGeom prst="rect">
                      <a:avLst/>
                    </a:prstGeom>
                  </pic:spPr>
                </pic:pic>
              </a:graphicData>
            </a:graphic>
          </wp:inline>
        </w:drawing>
      </w:r>
    </w:p>
    <w:p w14:paraId="3610DD3C" w14:textId="77777777" w:rsidR="00D36548" w:rsidRPr="00D4383F" w:rsidRDefault="00D4383F">
      <w:pPr>
        <w:jc w:val="center"/>
        <w:rPr>
          <w:rFonts w:asciiTheme="majorHAnsi" w:hAnsiTheme="majorHAnsi" w:cstheme="majorHAnsi"/>
          <w:sz w:val="40"/>
          <w:szCs w:val="40"/>
        </w:rPr>
      </w:pPr>
      <w:r w:rsidRPr="00D4383F">
        <w:rPr>
          <w:rFonts w:asciiTheme="majorHAnsi" w:hAnsiTheme="majorHAnsi" w:cstheme="majorHAnsi"/>
          <w:sz w:val="40"/>
          <w:szCs w:val="40"/>
        </w:rPr>
        <w:t>Academic Year 2026–2027</w:t>
      </w:r>
    </w:p>
    <w:tbl>
      <w:tblPr>
        <w:tblStyle w:val="TableGrid"/>
        <w:tblW w:w="0" w:type="auto"/>
        <w:jc w:val="center"/>
        <w:tblLook w:val="04A0" w:firstRow="1" w:lastRow="0" w:firstColumn="1" w:lastColumn="0" w:noHBand="0" w:noVBand="1"/>
      </w:tblPr>
      <w:tblGrid>
        <w:gridCol w:w="2880"/>
        <w:gridCol w:w="6912"/>
      </w:tblGrid>
      <w:tr w:rsidR="00D36548" w:rsidRPr="00D4383F" w14:paraId="0F8D165E" w14:textId="77777777" w:rsidTr="00D4383F">
        <w:trPr>
          <w:jc w:val="center"/>
        </w:trPr>
        <w:tc>
          <w:tcPr>
            <w:tcW w:w="2880" w:type="dxa"/>
            <w:shd w:val="clear" w:color="auto" w:fill="0070C0"/>
            <w:vAlign w:val="center"/>
          </w:tcPr>
          <w:p w14:paraId="537EEB7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Policy information</w:t>
            </w:r>
          </w:p>
        </w:tc>
        <w:tc>
          <w:tcPr>
            <w:tcW w:w="6912" w:type="dxa"/>
            <w:shd w:val="clear" w:color="auto" w:fill="0070C0"/>
            <w:vAlign w:val="center"/>
          </w:tcPr>
          <w:p w14:paraId="471BC62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Details</w:t>
            </w:r>
          </w:p>
        </w:tc>
      </w:tr>
      <w:tr w:rsidR="00D36548" w:rsidRPr="00D4383F" w14:paraId="17FD6729" w14:textId="77777777">
        <w:trPr>
          <w:jc w:val="center"/>
        </w:trPr>
        <w:tc>
          <w:tcPr>
            <w:tcW w:w="2880" w:type="dxa"/>
            <w:vAlign w:val="center"/>
          </w:tcPr>
          <w:p w14:paraId="329FCBF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Policy owner</w:t>
            </w:r>
          </w:p>
        </w:tc>
        <w:tc>
          <w:tcPr>
            <w:tcW w:w="6912" w:type="dxa"/>
            <w:vAlign w:val="center"/>
          </w:tcPr>
          <w:p w14:paraId="3760CF4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Headteacher / PSHE, RSHE and Personal Development Lead</w:t>
            </w:r>
          </w:p>
        </w:tc>
      </w:tr>
      <w:tr w:rsidR="00D36548" w:rsidRPr="00D4383F" w14:paraId="47CC6CC7" w14:textId="77777777">
        <w:trPr>
          <w:jc w:val="center"/>
        </w:trPr>
        <w:tc>
          <w:tcPr>
            <w:tcW w:w="2880" w:type="dxa"/>
            <w:vAlign w:val="center"/>
          </w:tcPr>
          <w:p w14:paraId="6F6B4D7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Applies to</w:t>
            </w:r>
          </w:p>
        </w:tc>
        <w:tc>
          <w:tcPr>
            <w:tcW w:w="6912" w:type="dxa"/>
            <w:vAlign w:val="center"/>
          </w:tcPr>
          <w:p w14:paraId="028873BB" w14:textId="31354918"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All pupils, including pupils with SEND </w:t>
            </w:r>
          </w:p>
        </w:tc>
      </w:tr>
      <w:tr w:rsidR="00D36548" w:rsidRPr="00D4383F" w14:paraId="676128D2" w14:textId="77777777">
        <w:trPr>
          <w:jc w:val="center"/>
        </w:trPr>
        <w:tc>
          <w:tcPr>
            <w:tcW w:w="2880" w:type="dxa"/>
            <w:vAlign w:val="center"/>
          </w:tcPr>
          <w:p w14:paraId="0875EFB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Approved by</w:t>
            </w:r>
          </w:p>
        </w:tc>
        <w:tc>
          <w:tcPr>
            <w:tcW w:w="6912" w:type="dxa"/>
            <w:vAlign w:val="center"/>
          </w:tcPr>
          <w:p w14:paraId="2F799BF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Governing Board / Trust</w:t>
            </w:r>
          </w:p>
        </w:tc>
      </w:tr>
      <w:tr w:rsidR="00D36548" w:rsidRPr="00D4383F" w14:paraId="35538050" w14:textId="77777777">
        <w:trPr>
          <w:jc w:val="center"/>
        </w:trPr>
        <w:tc>
          <w:tcPr>
            <w:tcW w:w="2880" w:type="dxa"/>
            <w:vAlign w:val="center"/>
          </w:tcPr>
          <w:p w14:paraId="1567F52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Approval date</w:t>
            </w:r>
          </w:p>
        </w:tc>
        <w:tc>
          <w:tcPr>
            <w:tcW w:w="6912" w:type="dxa"/>
            <w:vAlign w:val="center"/>
          </w:tcPr>
          <w:p w14:paraId="5035A6F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September 2026</w:t>
            </w:r>
          </w:p>
        </w:tc>
      </w:tr>
      <w:tr w:rsidR="00D36548" w:rsidRPr="00D4383F" w14:paraId="2E537AC8" w14:textId="77777777">
        <w:trPr>
          <w:jc w:val="center"/>
        </w:trPr>
        <w:tc>
          <w:tcPr>
            <w:tcW w:w="2880" w:type="dxa"/>
            <w:vAlign w:val="center"/>
          </w:tcPr>
          <w:p w14:paraId="5F6E5F7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Review cycle</w:t>
            </w:r>
          </w:p>
        </w:tc>
        <w:tc>
          <w:tcPr>
            <w:tcW w:w="6912" w:type="dxa"/>
            <w:vAlign w:val="center"/>
          </w:tcPr>
          <w:p w14:paraId="28505ED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Annual, or earlier if statutory guidance or school circumstances change</w:t>
            </w:r>
          </w:p>
        </w:tc>
      </w:tr>
      <w:tr w:rsidR="00D36548" w:rsidRPr="00D4383F" w14:paraId="33DFD832" w14:textId="77777777">
        <w:trPr>
          <w:jc w:val="center"/>
        </w:trPr>
        <w:tc>
          <w:tcPr>
            <w:tcW w:w="2880" w:type="dxa"/>
            <w:vAlign w:val="center"/>
          </w:tcPr>
          <w:p w14:paraId="539A1D3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Next review</w:t>
            </w:r>
          </w:p>
        </w:tc>
        <w:tc>
          <w:tcPr>
            <w:tcW w:w="6912" w:type="dxa"/>
            <w:vAlign w:val="center"/>
          </w:tcPr>
          <w:p w14:paraId="5A601A5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September 2027</w:t>
            </w:r>
          </w:p>
        </w:tc>
      </w:tr>
      <w:tr w:rsidR="00D36548" w:rsidRPr="00D4383F" w14:paraId="146FA8A8" w14:textId="77777777">
        <w:trPr>
          <w:jc w:val="center"/>
        </w:trPr>
        <w:tc>
          <w:tcPr>
            <w:tcW w:w="2880" w:type="dxa"/>
            <w:vAlign w:val="center"/>
          </w:tcPr>
          <w:p w14:paraId="2D75C66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Related policies</w:t>
            </w:r>
          </w:p>
        </w:tc>
        <w:tc>
          <w:tcPr>
            <w:tcW w:w="6912" w:type="dxa"/>
            <w:vAlign w:val="center"/>
          </w:tcPr>
          <w:p w14:paraId="1A49989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Safeguarding and Child Protection; Behaviour; Anti-Bullying; Equality; Online Safety; SEND; Attendance; First Aid/Medical; Curriculum</w:t>
            </w:r>
          </w:p>
        </w:tc>
      </w:tr>
    </w:tbl>
    <w:p w14:paraId="1AA5F9AB" w14:textId="77777777" w:rsidR="00D36548" w:rsidRPr="00D4383F" w:rsidRDefault="00D36548">
      <w:pPr>
        <w:rPr>
          <w:rFonts w:asciiTheme="majorHAnsi" w:hAnsiTheme="majorHAnsi" w:cstheme="majorHAnsi"/>
          <w:sz w:val="24"/>
          <w:szCs w:val="24"/>
        </w:rPr>
      </w:pPr>
    </w:p>
    <w:p w14:paraId="33E8D4D7" w14:textId="09059D15" w:rsidR="00D36548" w:rsidRPr="00D4383F" w:rsidRDefault="00D4383F" w:rsidP="00D4383F">
      <w:pPr>
        <w:pStyle w:val="PolicyNote"/>
        <w:rPr>
          <w:rFonts w:asciiTheme="majorHAnsi" w:hAnsiTheme="majorHAnsi" w:cstheme="majorHAnsi"/>
          <w:sz w:val="24"/>
          <w:szCs w:val="24"/>
        </w:rPr>
      </w:pPr>
      <w:r w:rsidRPr="00D4383F">
        <w:rPr>
          <w:rFonts w:asciiTheme="majorHAnsi" w:hAnsiTheme="majorHAnsi" w:cstheme="majorHAnsi"/>
          <w:sz w:val="24"/>
          <w:szCs w:val="24"/>
        </w:rPr>
        <w:t xml:space="preserve">This policy has been written with reference to the Department for Education's statutory guidance </w:t>
      </w:r>
      <w:r w:rsidRPr="00D4383F">
        <w:rPr>
          <w:rFonts w:asciiTheme="majorHAnsi" w:hAnsiTheme="majorHAnsi" w:cstheme="majorHAnsi"/>
          <w:b/>
          <w:sz w:val="24"/>
          <w:szCs w:val="24"/>
        </w:rPr>
        <w:t>Relationships Education, Relationships and Sex Education (RSE) and Health Education (July 2025), for introduction from 1 September 2026.</w:t>
      </w:r>
      <w:r w:rsidRPr="00D4383F">
        <w:rPr>
          <w:rFonts w:asciiTheme="majorHAnsi" w:hAnsiTheme="majorHAnsi" w:cstheme="majorHAnsi"/>
          <w:sz w:val="24"/>
          <w:szCs w:val="24"/>
        </w:rPr>
        <w:br w:type="page"/>
      </w:r>
    </w:p>
    <w:p w14:paraId="063A0A69" w14:textId="77777777" w:rsidR="00D36548" w:rsidRPr="00D4383F" w:rsidRDefault="00D4383F">
      <w:pPr>
        <w:pStyle w:val="Heading1"/>
        <w:rPr>
          <w:rFonts w:cstheme="majorHAnsi"/>
          <w:sz w:val="24"/>
          <w:szCs w:val="24"/>
        </w:rPr>
      </w:pPr>
      <w:r w:rsidRPr="00D4383F">
        <w:rPr>
          <w:rFonts w:cstheme="majorHAnsi"/>
          <w:sz w:val="24"/>
          <w:szCs w:val="24"/>
        </w:rPr>
        <w:lastRenderedPageBreak/>
        <w:t>1. Policy statement</w:t>
      </w:r>
    </w:p>
    <w:p w14:paraId="7BAE0A8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Maylandsea Primary School is committed to providing a planned, age-appropriate and inclusive programme of Relationships Education and Health Education, together with carefully selected Sex Education where this forms part of the school's agreed programme. The curriculum is designed to help pupils develop the knowledge, language, skills and confidence they need to build positive relationships, keep themselves and others safe, understand and care for their physical and mental health, and seek help when needed.</w:t>
      </w:r>
    </w:p>
    <w:p w14:paraId="5ED5BEB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will deliver the curriculum in a way that is positive, respectful, carefully sequenced, responsive to pupils' needs and accessible to all pupils. Teaching will support pupils to develop characteristics including resilience, self-worth, self-respect, honesty, integrity, courage, kindness and trustworthiness.</w:t>
      </w:r>
    </w:p>
    <w:p w14:paraId="49027A2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curriculum forms part of a whole-school approach to wellbeing, safeguarding, behaviour, equality, online safety and personal development. It is consistent with the school's ethos of 'Lives without Labels' and with our commitment to ensuring that every pupil is respected, included and able to participate.</w:t>
      </w:r>
    </w:p>
    <w:p w14:paraId="7F15E84F" w14:textId="77777777" w:rsidR="00D36548" w:rsidRPr="00D4383F" w:rsidRDefault="00D4383F">
      <w:pPr>
        <w:pStyle w:val="Heading1"/>
        <w:rPr>
          <w:rFonts w:cstheme="majorHAnsi"/>
          <w:sz w:val="24"/>
          <w:szCs w:val="24"/>
        </w:rPr>
      </w:pPr>
      <w:r w:rsidRPr="00D4383F">
        <w:rPr>
          <w:rFonts w:cstheme="majorHAnsi"/>
          <w:sz w:val="24"/>
          <w:szCs w:val="24"/>
        </w:rPr>
        <w:t>2. Purpose and aims</w:t>
      </w:r>
    </w:p>
    <w:p w14:paraId="067E285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Through RSHE, pupils will be supported to:</w:t>
      </w:r>
    </w:p>
    <w:p w14:paraId="30DE855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develop positive, caring and respectful relationships with family members, friends, peers and trusted adults;</w:t>
      </w:r>
    </w:p>
    <w:p w14:paraId="63AF595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 boundaries, privacy, personal space and the right to feel safe;</w:t>
      </w:r>
    </w:p>
    <w:p w14:paraId="5903318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recognise bullying, abuse, harmful behaviour and unsafe situations, including online harms, and know how to report concerns;</w:t>
      </w:r>
    </w:p>
    <w:p w14:paraId="6A90CAF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develop emotional literacy, self-regulation, resilience and strategies for supporting their wellbeing;</w:t>
      </w:r>
    </w:p>
    <w:p w14:paraId="4FC7FA7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 healthy lifestyles, including physical activity, nutrition, sleep, hygiene and health protection;</w:t>
      </w:r>
    </w:p>
    <w:p w14:paraId="45DF932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 body development and puberty using accurate, age-appropriate language;</w:t>
      </w:r>
    </w:p>
    <w:p w14:paraId="2D1DDBD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develop confidence to ask for help </w:t>
      </w:r>
      <w:r w:rsidRPr="00D4383F">
        <w:rPr>
          <w:rFonts w:asciiTheme="majorHAnsi" w:hAnsiTheme="majorHAnsi" w:cstheme="majorHAnsi"/>
          <w:sz w:val="24"/>
          <w:szCs w:val="24"/>
        </w:rPr>
        <w:t>and continue seeking help until they are heard;</w:t>
      </w:r>
    </w:p>
    <w:p w14:paraId="6D86E32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respect people who are different from themselves and understand the importance of equality and non-discrimination;</w:t>
      </w:r>
    </w:p>
    <w:p w14:paraId="6AC51D2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develop the knowledge and skills needed for a safe and successful transition to secondary education.</w:t>
      </w:r>
    </w:p>
    <w:p w14:paraId="26FCD7E9" w14:textId="77777777" w:rsidR="00D36548" w:rsidRPr="00D4383F" w:rsidRDefault="00D4383F">
      <w:pPr>
        <w:pStyle w:val="Heading1"/>
        <w:rPr>
          <w:rFonts w:cstheme="majorHAnsi"/>
          <w:sz w:val="24"/>
          <w:szCs w:val="24"/>
        </w:rPr>
      </w:pPr>
      <w:r w:rsidRPr="00D4383F">
        <w:rPr>
          <w:rFonts w:cstheme="majorHAnsi"/>
          <w:sz w:val="24"/>
          <w:szCs w:val="24"/>
        </w:rPr>
        <w:t>3. Statutory framework and guidance</w:t>
      </w:r>
    </w:p>
    <w:p w14:paraId="4CF3BEA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This policy has been developed in accordance with the DfE statutory guidance published in July 2025 for introduction from 1 September 2026. The guidance states that Relationships Education is compulsory for pupils receiving primary education and Health Education is compulsory in primary schools. Sex Education is not compulsory in primary schools, although the DfE recommends that primary schools consider teaching it in Years 5 and/or 6 alongside the relevant science content.</w:t>
      </w:r>
    </w:p>
    <w:p w14:paraId="3DE6625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policy should be read alongside:</w:t>
      </w:r>
    </w:p>
    <w:p w14:paraId="4A58651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Keeping Children Safe in Education (KCSIE), current edition;</w:t>
      </w:r>
    </w:p>
    <w:p w14:paraId="3C2C403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Working Together to Safeguard Children;</w:t>
      </w:r>
    </w:p>
    <w:p w14:paraId="08A82B5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Equality Act 2010 and Public Sector Equality Duty;</w:t>
      </w:r>
    </w:p>
    <w:p w14:paraId="369271C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SEND Code of Practice: 0 to 25 years;</w:t>
      </w:r>
    </w:p>
    <w:p w14:paraId="2B23D7B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Behaviour in Schools guidance;</w:t>
      </w:r>
    </w:p>
    <w:p w14:paraId="1916EA4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lastRenderedPageBreak/>
        <w:t>Teaching Online Safety in Schools;</w:t>
      </w:r>
    </w:p>
    <w:p w14:paraId="1F25C5F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National Curriculum, including statutory science content;</w:t>
      </w:r>
    </w:p>
    <w:p w14:paraId="07283BF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school's safeguarding and child protection, behaviour, equality, anti-bullying, SEND and online safety policies.</w:t>
      </w:r>
    </w:p>
    <w:p w14:paraId="2D92600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will have regard to the DfE statutory guidance and will document and communicate any significant departure from the published programme where required.</w:t>
      </w:r>
    </w:p>
    <w:p w14:paraId="6379F34F" w14:textId="77777777" w:rsidR="00D36548" w:rsidRPr="00D4383F" w:rsidRDefault="00D4383F">
      <w:pPr>
        <w:pStyle w:val="Heading1"/>
        <w:rPr>
          <w:rFonts w:cstheme="majorHAnsi"/>
          <w:sz w:val="24"/>
          <w:szCs w:val="24"/>
        </w:rPr>
      </w:pPr>
      <w:r w:rsidRPr="00D4383F">
        <w:rPr>
          <w:rFonts w:cstheme="majorHAnsi"/>
          <w:sz w:val="24"/>
          <w:szCs w:val="24"/>
        </w:rPr>
        <w:t>4. Scope and definitions</w:t>
      </w:r>
    </w:p>
    <w:tbl>
      <w:tblPr>
        <w:tblStyle w:val="TableGrid"/>
        <w:tblW w:w="0" w:type="auto"/>
        <w:jc w:val="center"/>
        <w:tblLook w:val="04A0" w:firstRow="1" w:lastRow="0" w:firstColumn="1" w:lastColumn="0" w:noHBand="0" w:noVBand="1"/>
      </w:tblPr>
      <w:tblGrid>
        <w:gridCol w:w="2304"/>
        <w:gridCol w:w="7488"/>
      </w:tblGrid>
      <w:tr w:rsidR="00D36548" w:rsidRPr="00D4383F" w14:paraId="02972053" w14:textId="77777777">
        <w:trPr>
          <w:jc w:val="center"/>
        </w:trPr>
        <w:tc>
          <w:tcPr>
            <w:tcW w:w="2304" w:type="dxa"/>
            <w:shd w:val="clear" w:color="auto" w:fill="1F4E79"/>
            <w:vAlign w:val="center"/>
          </w:tcPr>
          <w:p w14:paraId="5877FB9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Term</w:t>
            </w:r>
          </w:p>
        </w:tc>
        <w:tc>
          <w:tcPr>
            <w:tcW w:w="7488" w:type="dxa"/>
            <w:shd w:val="clear" w:color="auto" w:fill="1F4E79"/>
            <w:vAlign w:val="center"/>
          </w:tcPr>
          <w:p w14:paraId="0DFB73D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Meaning in this policy</w:t>
            </w:r>
          </w:p>
        </w:tc>
      </w:tr>
      <w:tr w:rsidR="00D36548" w:rsidRPr="00D4383F" w14:paraId="6D93ABB6" w14:textId="77777777">
        <w:trPr>
          <w:jc w:val="center"/>
        </w:trPr>
        <w:tc>
          <w:tcPr>
            <w:tcW w:w="2304" w:type="dxa"/>
            <w:vAlign w:val="center"/>
          </w:tcPr>
          <w:p w14:paraId="7ABFCC3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RSHE</w:t>
            </w:r>
          </w:p>
        </w:tc>
        <w:tc>
          <w:tcPr>
            <w:tcW w:w="7488" w:type="dxa"/>
            <w:vAlign w:val="center"/>
          </w:tcPr>
          <w:p w14:paraId="2B0B5A4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Relationships, Sex Education and Health Education. In </w:t>
            </w:r>
            <w:r w:rsidRPr="00D4383F">
              <w:rPr>
                <w:rFonts w:asciiTheme="majorHAnsi" w:hAnsiTheme="majorHAnsi" w:cstheme="majorHAnsi"/>
                <w:sz w:val="24"/>
                <w:szCs w:val="24"/>
              </w:rPr>
              <w:t>primary school, the statutory core is Relationships Education and Health Education, with any additional Sex Education clearly identified.</w:t>
            </w:r>
          </w:p>
        </w:tc>
      </w:tr>
      <w:tr w:rsidR="00D36548" w:rsidRPr="00D4383F" w14:paraId="2776494A" w14:textId="77777777">
        <w:trPr>
          <w:jc w:val="center"/>
        </w:trPr>
        <w:tc>
          <w:tcPr>
            <w:tcW w:w="2304" w:type="dxa"/>
            <w:vAlign w:val="center"/>
          </w:tcPr>
          <w:p w14:paraId="552F555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Relationships Education</w:t>
            </w:r>
          </w:p>
        </w:tc>
        <w:tc>
          <w:tcPr>
            <w:tcW w:w="7488" w:type="dxa"/>
            <w:vAlign w:val="center"/>
          </w:tcPr>
          <w:p w14:paraId="13EA882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statutory primary curriculum covering families and people who care for pupils, caring friendships, respectful and kind relationships, online safety and being safe.</w:t>
            </w:r>
          </w:p>
        </w:tc>
      </w:tr>
      <w:tr w:rsidR="00D36548" w:rsidRPr="00D4383F" w14:paraId="088CFD97" w14:textId="77777777">
        <w:trPr>
          <w:jc w:val="center"/>
        </w:trPr>
        <w:tc>
          <w:tcPr>
            <w:tcW w:w="2304" w:type="dxa"/>
            <w:vAlign w:val="center"/>
          </w:tcPr>
          <w:p w14:paraId="7FE65EC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Sex Education</w:t>
            </w:r>
          </w:p>
        </w:tc>
        <w:tc>
          <w:tcPr>
            <w:tcW w:w="7488" w:type="dxa"/>
            <w:vAlign w:val="center"/>
          </w:tcPr>
          <w:p w14:paraId="43CF737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Education about sex and sexual relationships that goes beyond statutory Relationships Education and beyond the science curriculum. In this school, this is limited to the content identified in Appendix 2.</w:t>
            </w:r>
          </w:p>
        </w:tc>
      </w:tr>
      <w:tr w:rsidR="00D36548" w:rsidRPr="00D4383F" w14:paraId="76ACD3E6" w14:textId="77777777">
        <w:trPr>
          <w:jc w:val="center"/>
        </w:trPr>
        <w:tc>
          <w:tcPr>
            <w:tcW w:w="2304" w:type="dxa"/>
            <w:vAlign w:val="center"/>
          </w:tcPr>
          <w:p w14:paraId="23E9322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Health Education</w:t>
            </w:r>
          </w:p>
        </w:tc>
        <w:tc>
          <w:tcPr>
            <w:tcW w:w="7488" w:type="dxa"/>
            <w:vAlign w:val="center"/>
          </w:tcPr>
          <w:p w14:paraId="44366AD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statutory primary curriculum covering wellbeing, online wellbeing, physical health and fitness, healthy eating, drugs/alcohol/tobacco/vaping, health protection and prevention, personal safety, first aid and developing bodies.</w:t>
            </w:r>
          </w:p>
        </w:tc>
      </w:tr>
      <w:tr w:rsidR="00D36548" w:rsidRPr="00D4383F" w14:paraId="06981783" w14:textId="77777777">
        <w:trPr>
          <w:jc w:val="center"/>
        </w:trPr>
        <w:tc>
          <w:tcPr>
            <w:tcW w:w="2304" w:type="dxa"/>
            <w:vAlign w:val="center"/>
          </w:tcPr>
          <w:p w14:paraId="5F4A280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Age/stage appropriate</w:t>
            </w:r>
          </w:p>
        </w:tc>
        <w:tc>
          <w:tcPr>
            <w:tcW w:w="7488" w:type="dxa"/>
            <w:vAlign w:val="center"/>
          </w:tcPr>
          <w:p w14:paraId="3AEF3A3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Content is matched to pupils' age, maturity, prior knowledge, SEND and individual circumstances, while ensuring statutory content is covered by the end of primary.</w:t>
            </w:r>
          </w:p>
        </w:tc>
      </w:tr>
      <w:tr w:rsidR="00D36548" w:rsidRPr="00D4383F" w14:paraId="45962660" w14:textId="77777777">
        <w:trPr>
          <w:jc w:val="center"/>
        </w:trPr>
        <w:tc>
          <w:tcPr>
            <w:tcW w:w="2304" w:type="dxa"/>
            <w:vAlign w:val="center"/>
          </w:tcPr>
          <w:p w14:paraId="13CAA86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Trusted adult</w:t>
            </w:r>
          </w:p>
        </w:tc>
        <w:tc>
          <w:tcPr>
            <w:tcW w:w="7488" w:type="dxa"/>
            <w:vAlign w:val="center"/>
          </w:tcPr>
          <w:p w14:paraId="60AC1B0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An adult whom a </w:t>
            </w:r>
            <w:r w:rsidRPr="00D4383F">
              <w:rPr>
                <w:rFonts w:asciiTheme="majorHAnsi" w:hAnsiTheme="majorHAnsi" w:cstheme="majorHAnsi"/>
                <w:sz w:val="24"/>
                <w:szCs w:val="24"/>
              </w:rPr>
              <w:t>pupil can approach for help, such as a parent/carer, teacher, teaching assistant, DSL/deputy DSL or another identified member of staff.</w:t>
            </w:r>
          </w:p>
        </w:tc>
      </w:tr>
    </w:tbl>
    <w:p w14:paraId="2C4AFF40" w14:textId="77777777" w:rsidR="00D36548" w:rsidRPr="00D4383F" w:rsidRDefault="00D4383F">
      <w:pPr>
        <w:pStyle w:val="Heading1"/>
        <w:rPr>
          <w:rFonts w:cstheme="majorHAnsi"/>
          <w:sz w:val="24"/>
          <w:szCs w:val="24"/>
        </w:rPr>
      </w:pPr>
      <w:r w:rsidRPr="00D4383F">
        <w:rPr>
          <w:rFonts w:cstheme="majorHAnsi"/>
          <w:sz w:val="24"/>
          <w:szCs w:val="24"/>
        </w:rPr>
        <w:t>5. Roles and responsibilities</w:t>
      </w:r>
    </w:p>
    <w:p w14:paraId="542F13F0" w14:textId="77777777" w:rsidR="00D36548" w:rsidRPr="00D4383F" w:rsidRDefault="00D4383F">
      <w:pPr>
        <w:pStyle w:val="Heading2"/>
        <w:rPr>
          <w:rFonts w:cstheme="majorHAnsi"/>
          <w:sz w:val="24"/>
          <w:szCs w:val="24"/>
        </w:rPr>
      </w:pPr>
      <w:r w:rsidRPr="00D4383F">
        <w:rPr>
          <w:rFonts w:cstheme="majorHAnsi"/>
          <w:sz w:val="24"/>
          <w:szCs w:val="24"/>
        </w:rPr>
        <w:t>5.1 Governing Board / Trust</w:t>
      </w:r>
    </w:p>
    <w:p w14:paraId="2D1CC84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approve and review the policy;</w:t>
      </w:r>
    </w:p>
    <w:p w14:paraId="443C7A27"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statutory duties are met and that the curriculum is accessible to all pupils, including pupils with SEND;</w:t>
      </w:r>
    </w:p>
    <w:p w14:paraId="5F26F7A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appropriate information is provided to parents/carers about content, resources, external providers and withdrawal arrangements;</w:t>
      </w:r>
    </w:p>
    <w:p w14:paraId="74F747B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receive appropriate </w:t>
      </w:r>
      <w:r w:rsidRPr="00D4383F">
        <w:rPr>
          <w:rFonts w:asciiTheme="majorHAnsi" w:hAnsiTheme="majorHAnsi" w:cstheme="majorHAnsi"/>
          <w:sz w:val="24"/>
          <w:szCs w:val="24"/>
        </w:rPr>
        <w:t>monitoring and evaluation information.</w:t>
      </w:r>
    </w:p>
    <w:p w14:paraId="4D87EC7C" w14:textId="77777777" w:rsidR="00D36548" w:rsidRPr="00D4383F" w:rsidRDefault="00D4383F">
      <w:pPr>
        <w:pStyle w:val="Heading2"/>
        <w:rPr>
          <w:rFonts w:cstheme="majorHAnsi"/>
          <w:sz w:val="24"/>
          <w:szCs w:val="24"/>
        </w:rPr>
      </w:pPr>
      <w:r w:rsidRPr="00D4383F">
        <w:rPr>
          <w:rFonts w:cstheme="majorHAnsi"/>
          <w:sz w:val="24"/>
          <w:szCs w:val="24"/>
        </w:rPr>
        <w:t>5.2 Headteacher</w:t>
      </w:r>
    </w:p>
    <w:p w14:paraId="72882E2E"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provide strategic leadership for RSHE;</w:t>
      </w:r>
    </w:p>
    <w:p w14:paraId="6D60927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the policy is implemented and communicated;</w:t>
      </w:r>
    </w:p>
    <w:p w14:paraId="2CDF037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staff are appropriately trained and supported;</w:t>
      </w:r>
    </w:p>
    <w:p w14:paraId="0293F2C7"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safeguarding concerns arising from RSHE are managed in line with safeguarding procedures;</w:t>
      </w:r>
    </w:p>
    <w:p w14:paraId="00D55EE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oversee parent/carer consultation and withdrawal requests.</w:t>
      </w:r>
    </w:p>
    <w:p w14:paraId="14A6E758" w14:textId="77777777" w:rsidR="00D36548" w:rsidRPr="00D4383F" w:rsidRDefault="00D4383F">
      <w:pPr>
        <w:pStyle w:val="Heading2"/>
        <w:rPr>
          <w:rFonts w:cstheme="majorHAnsi"/>
          <w:sz w:val="24"/>
          <w:szCs w:val="24"/>
        </w:rPr>
      </w:pPr>
      <w:r w:rsidRPr="00D4383F">
        <w:rPr>
          <w:rFonts w:cstheme="majorHAnsi"/>
          <w:sz w:val="24"/>
          <w:szCs w:val="24"/>
        </w:rPr>
        <w:t>5.3 RSHE / PSHE Lead</w:t>
      </w:r>
    </w:p>
    <w:p w14:paraId="6205C525"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develop and maintain the curriculum map and progression;</w:t>
      </w:r>
    </w:p>
    <w:p w14:paraId="126913A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statutory content is covered and sequenced;</w:t>
      </w:r>
    </w:p>
    <w:p w14:paraId="64230F2E"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support staff with planning, resources and sensitive-topic teaching;</w:t>
      </w:r>
    </w:p>
    <w:p w14:paraId="300A560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monitor teaching, pupil experience and curriculum impact;</w:t>
      </w:r>
    </w:p>
    <w:p w14:paraId="1793A0E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review resources and external-provider materials;</w:t>
      </w:r>
    </w:p>
    <w:p w14:paraId="1590FE5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lastRenderedPageBreak/>
        <w:t>liaise with the DSL, SENCo and relevant subject leaders.</w:t>
      </w:r>
    </w:p>
    <w:p w14:paraId="7679EE19" w14:textId="77777777" w:rsidR="00D36548" w:rsidRPr="00D4383F" w:rsidRDefault="00D4383F">
      <w:pPr>
        <w:pStyle w:val="Heading2"/>
        <w:rPr>
          <w:rFonts w:cstheme="majorHAnsi"/>
          <w:sz w:val="24"/>
          <w:szCs w:val="24"/>
        </w:rPr>
      </w:pPr>
      <w:r w:rsidRPr="00D4383F">
        <w:rPr>
          <w:rFonts w:cstheme="majorHAnsi"/>
          <w:sz w:val="24"/>
          <w:szCs w:val="24"/>
        </w:rPr>
        <w:t>5.4 DSL / safeguarding team</w:t>
      </w:r>
    </w:p>
    <w:p w14:paraId="3EB0328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advise staff on safeguarding issues arising from lessons or disclosures;</w:t>
      </w:r>
    </w:p>
    <w:p w14:paraId="088EA82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ensure staff follow the child protection policy and current KCSIE procedures;</w:t>
      </w:r>
    </w:p>
    <w:p w14:paraId="63D4B9F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maintain appropriate records and information sharing;</w:t>
      </w:r>
    </w:p>
    <w:p w14:paraId="72EF8A4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maintain awareness of relevant local support services and emerging safeguarding issues.</w:t>
      </w:r>
    </w:p>
    <w:p w14:paraId="6A99AE0C" w14:textId="77777777" w:rsidR="00D36548" w:rsidRPr="00D4383F" w:rsidRDefault="00D4383F">
      <w:pPr>
        <w:pStyle w:val="Heading2"/>
        <w:rPr>
          <w:rFonts w:cstheme="majorHAnsi"/>
          <w:sz w:val="24"/>
          <w:szCs w:val="24"/>
        </w:rPr>
      </w:pPr>
      <w:r w:rsidRPr="00D4383F">
        <w:rPr>
          <w:rFonts w:cstheme="majorHAnsi"/>
          <w:sz w:val="24"/>
          <w:szCs w:val="24"/>
        </w:rPr>
        <w:t>5.5 Teachers and support staff</w:t>
      </w:r>
    </w:p>
    <w:p w14:paraId="24B6E8C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deliver lessons in accordance with the agreed curriculum and this policy;</w:t>
      </w:r>
    </w:p>
    <w:p w14:paraId="180D4C7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create a safe, respectful and inclusive learning environment;</w:t>
      </w:r>
    </w:p>
    <w:p w14:paraId="513B958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use accurate and age-appropriate language;</w:t>
      </w:r>
    </w:p>
    <w:p w14:paraId="75E502A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respond appropriately to questions and disclosures;</w:t>
      </w:r>
    </w:p>
    <w:p w14:paraId="6DA3EF5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report safeguarding concerns immediately through the school's established procedures;</w:t>
      </w:r>
    </w:p>
    <w:p w14:paraId="45212C9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adapt teaching and resources so that all pupils can participate.</w:t>
      </w:r>
    </w:p>
    <w:p w14:paraId="24B7F31F" w14:textId="77777777" w:rsidR="00D36548" w:rsidRPr="00D4383F" w:rsidRDefault="00D4383F">
      <w:pPr>
        <w:pStyle w:val="Heading1"/>
        <w:rPr>
          <w:rFonts w:cstheme="majorHAnsi"/>
          <w:sz w:val="24"/>
          <w:szCs w:val="24"/>
        </w:rPr>
      </w:pPr>
      <w:r w:rsidRPr="00D4383F">
        <w:rPr>
          <w:rFonts w:cstheme="majorHAnsi"/>
          <w:sz w:val="24"/>
          <w:szCs w:val="24"/>
        </w:rPr>
        <w:t>6. Curriculum organisation and delivery</w:t>
      </w:r>
    </w:p>
    <w:p w14:paraId="3FF6BF6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RSHE is delivered as part of the </w:t>
      </w:r>
      <w:r w:rsidRPr="00D4383F">
        <w:rPr>
          <w:rFonts w:asciiTheme="majorHAnsi" w:hAnsiTheme="majorHAnsi" w:cstheme="majorHAnsi"/>
          <w:sz w:val="24"/>
          <w:szCs w:val="24"/>
        </w:rPr>
        <w:t>school's wider PSHE/personal development curriculum and is reinforced through the wider curriculum, assemblies, pastoral provision, behaviour expectations, online safety, science, PE and other appropriate learning opportunities.</w:t>
      </w:r>
    </w:p>
    <w:p w14:paraId="781AD0A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curriculum will:</w:t>
      </w:r>
    </w:p>
    <w:p w14:paraId="37C27905"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be planned across EYFS, Key Stage 1 and Key Stage 2 with clear progression;</w:t>
      </w:r>
    </w:p>
    <w:p w14:paraId="3AA9881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cover all statutory primary content by the end of Year 6;</w:t>
      </w:r>
    </w:p>
    <w:p w14:paraId="14D5A01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be sequenced so that pupils develop knowledge and skills before they are likely to need them;</w:t>
      </w:r>
    </w:p>
    <w:p w14:paraId="626B306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include opportunities for discussion, modelling, role play, reflection and practising skills;</w:t>
      </w:r>
    </w:p>
    <w:p w14:paraId="452CB30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respond to identified needs in the school while remaining age and stage appropriate;</w:t>
      </w:r>
    </w:p>
    <w:p w14:paraId="5EDD556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avoid unnecessary duplication with science, computing, PE and other curriculum subjects;</w:t>
      </w:r>
    </w:p>
    <w:p w14:paraId="6C2166C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be adapted for pupils who require additional support or different communication approaches.</w:t>
      </w:r>
    </w:p>
    <w:p w14:paraId="5870690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Teaching will normally take place in mixed groups. Where a particular topic requires a different arrangement to create an appropriate and safe learning environment, the school may make reasonable organisational adjustments.</w:t>
      </w:r>
    </w:p>
    <w:p w14:paraId="6B7B4807" w14:textId="77777777" w:rsidR="00D36548" w:rsidRPr="00D4383F" w:rsidRDefault="00D4383F">
      <w:pPr>
        <w:pStyle w:val="Heading1"/>
        <w:rPr>
          <w:rFonts w:cstheme="majorHAnsi"/>
          <w:sz w:val="24"/>
          <w:szCs w:val="24"/>
        </w:rPr>
      </w:pPr>
      <w:r w:rsidRPr="00D4383F">
        <w:rPr>
          <w:rFonts w:cstheme="majorHAnsi"/>
          <w:sz w:val="24"/>
          <w:szCs w:val="24"/>
        </w:rPr>
        <w:t>7. Relationships Education – primary entitlement</w:t>
      </w:r>
    </w:p>
    <w:p w14:paraId="73871DB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By the end of primary school, pupils will have been taught the following broad areas:</w:t>
      </w:r>
    </w:p>
    <w:tbl>
      <w:tblPr>
        <w:tblStyle w:val="TableGrid"/>
        <w:tblW w:w="0" w:type="auto"/>
        <w:jc w:val="center"/>
        <w:tblLook w:val="04A0" w:firstRow="1" w:lastRow="0" w:firstColumn="1" w:lastColumn="0" w:noHBand="0" w:noVBand="1"/>
      </w:tblPr>
      <w:tblGrid>
        <w:gridCol w:w="2592"/>
        <w:gridCol w:w="7200"/>
      </w:tblGrid>
      <w:tr w:rsidR="00D36548" w:rsidRPr="00D4383F" w14:paraId="31F22CF4" w14:textId="77777777">
        <w:trPr>
          <w:jc w:val="center"/>
        </w:trPr>
        <w:tc>
          <w:tcPr>
            <w:tcW w:w="2592" w:type="dxa"/>
            <w:shd w:val="clear" w:color="auto" w:fill="1F4E79"/>
            <w:vAlign w:val="center"/>
          </w:tcPr>
          <w:p w14:paraId="218CDCC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Area</w:t>
            </w:r>
          </w:p>
        </w:tc>
        <w:tc>
          <w:tcPr>
            <w:tcW w:w="7200" w:type="dxa"/>
            <w:shd w:val="clear" w:color="auto" w:fill="1F4E79"/>
            <w:vAlign w:val="center"/>
          </w:tcPr>
          <w:p w14:paraId="33FDFD7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Key learning</w:t>
            </w:r>
          </w:p>
        </w:tc>
      </w:tr>
      <w:tr w:rsidR="00D36548" w:rsidRPr="00D4383F" w14:paraId="56DBC6D9" w14:textId="77777777">
        <w:trPr>
          <w:jc w:val="center"/>
        </w:trPr>
        <w:tc>
          <w:tcPr>
            <w:tcW w:w="2592" w:type="dxa"/>
            <w:vAlign w:val="center"/>
          </w:tcPr>
          <w:p w14:paraId="32B35B3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Families and people who care for me</w:t>
            </w:r>
          </w:p>
        </w:tc>
        <w:tc>
          <w:tcPr>
            <w:tcW w:w="7200" w:type="dxa"/>
            <w:vAlign w:val="center"/>
          </w:tcPr>
          <w:p w14:paraId="25C021C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The importance of </w:t>
            </w:r>
            <w:r w:rsidRPr="00D4383F">
              <w:rPr>
                <w:rFonts w:asciiTheme="majorHAnsi" w:hAnsiTheme="majorHAnsi" w:cstheme="majorHAnsi"/>
                <w:sz w:val="24"/>
                <w:szCs w:val="24"/>
              </w:rPr>
              <w:t>loving, caring and stable relationships; different family structures; respect for differences; recognising when a family relationship feels unsafe and knowing how to seek help.</w:t>
            </w:r>
          </w:p>
        </w:tc>
      </w:tr>
      <w:tr w:rsidR="00D36548" w:rsidRPr="00D4383F" w14:paraId="0362F4EA" w14:textId="77777777">
        <w:trPr>
          <w:jc w:val="center"/>
        </w:trPr>
        <w:tc>
          <w:tcPr>
            <w:tcW w:w="2592" w:type="dxa"/>
            <w:vAlign w:val="center"/>
          </w:tcPr>
          <w:p w14:paraId="4868559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Caring friendships</w:t>
            </w:r>
          </w:p>
        </w:tc>
        <w:tc>
          <w:tcPr>
            <w:tcW w:w="7200" w:type="dxa"/>
            <w:vAlign w:val="center"/>
          </w:tcPr>
          <w:p w14:paraId="65A844C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Making and sustaining friendships; kindness, </w:t>
            </w:r>
            <w:r w:rsidRPr="00D4383F">
              <w:rPr>
                <w:rFonts w:asciiTheme="majorHAnsi" w:hAnsiTheme="majorHAnsi" w:cstheme="majorHAnsi"/>
                <w:sz w:val="24"/>
                <w:szCs w:val="24"/>
              </w:rPr>
              <w:t>inclusion, trust and loyalty; managing loneliness; repairing friendships; resolving conflict without violence; recognising when a friendship is harmful or uncomfortable.</w:t>
            </w:r>
          </w:p>
        </w:tc>
      </w:tr>
      <w:tr w:rsidR="00D36548" w:rsidRPr="00D4383F" w14:paraId="6EAA5A1A" w14:textId="77777777">
        <w:trPr>
          <w:jc w:val="center"/>
        </w:trPr>
        <w:tc>
          <w:tcPr>
            <w:tcW w:w="2592" w:type="dxa"/>
            <w:vAlign w:val="center"/>
          </w:tcPr>
          <w:p w14:paraId="065A631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Respectful, kind relationships</w:t>
            </w:r>
          </w:p>
        </w:tc>
        <w:tc>
          <w:tcPr>
            <w:tcW w:w="7200" w:type="dxa"/>
            <w:vAlign w:val="center"/>
          </w:tcPr>
          <w:p w14:paraId="5498380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Boundaries, communication, assertiveness, kindness, self-respect, courtesy, managing feelings, equality, bullying, stereotypes and seeking help.</w:t>
            </w:r>
          </w:p>
        </w:tc>
      </w:tr>
      <w:tr w:rsidR="00D36548" w:rsidRPr="00D4383F" w14:paraId="474EEE8A" w14:textId="77777777">
        <w:trPr>
          <w:jc w:val="center"/>
        </w:trPr>
        <w:tc>
          <w:tcPr>
            <w:tcW w:w="2592" w:type="dxa"/>
            <w:vAlign w:val="center"/>
          </w:tcPr>
          <w:p w14:paraId="184F976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Online safety and awareness</w:t>
            </w:r>
          </w:p>
        </w:tc>
        <w:tc>
          <w:tcPr>
            <w:tcW w:w="7200" w:type="dxa"/>
            <w:vAlign w:val="center"/>
          </w:tcPr>
          <w:p w14:paraId="4070ED5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Respectful online interaction; pressure to share information/images; risks from people not </w:t>
            </w:r>
            <w:r w:rsidRPr="00D4383F">
              <w:rPr>
                <w:rFonts w:asciiTheme="majorHAnsi" w:hAnsiTheme="majorHAnsi" w:cstheme="majorHAnsi"/>
                <w:sz w:val="24"/>
                <w:szCs w:val="24"/>
              </w:rPr>
              <w:lastRenderedPageBreak/>
              <w:t>known offline; privacy and location settings; harmful content/contact; reporting concerns.</w:t>
            </w:r>
          </w:p>
        </w:tc>
      </w:tr>
      <w:tr w:rsidR="00D36548" w:rsidRPr="00D4383F" w14:paraId="320A78F7" w14:textId="77777777">
        <w:trPr>
          <w:jc w:val="center"/>
        </w:trPr>
        <w:tc>
          <w:tcPr>
            <w:tcW w:w="2592" w:type="dxa"/>
            <w:vAlign w:val="center"/>
          </w:tcPr>
          <w:p w14:paraId="3A21F13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lastRenderedPageBreak/>
              <w:t>Being safe</w:t>
            </w:r>
          </w:p>
        </w:tc>
        <w:tc>
          <w:tcPr>
            <w:tcW w:w="7200" w:type="dxa"/>
            <w:vAlign w:val="center"/>
          </w:tcPr>
          <w:p w14:paraId="4330611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Boundaries, privacy, body ownership, appropriate/inappropriate contact, responding safely to adults, recognising unsafe relationships, reporting abuse and continuing to seek help until heard.</w:t>
            </w:r>
          </w:p>
        </w:tc>
      </w:tr>
    </w:tbl>
    <w:p w14:paraId="56CF76FE" w14:textId="77777777" w:rsidR="00D36548" w:rsidRPr="00D4383F" w:rsidRDefault="00D4383F">
      <w:pPr>
        <w:pStyle w:val="Heading1"/>
        <w:rPr>
          <w:rFonts w:cstheme="majorHAnsi"/>
          <w:sz w:val="24"/>
          <w:szCs w:val="24"/>
        </w:rPr>
      </w:pPr>
      <w:r w:rsidRPr="00D4383F">
        <w:rPr>
          <w:rFonts w:cstheme="majorHAnsi"/>
          <w:sz w:val="24"/>
          <w:szCs w:val="24"/>
        </w:rPr>
        <w:t>8. Sex Education in primary school</w:t>
      </w:r>
    </w:p>
    <w:p w14:paraId="7014D14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DfE guidance confirms that Sex Education is not compulsory in primary schools. Maylandsea Primary School will provide age-appropriate Sex Education in Years 5 and 6, alongside the statutory science curriculum, as part of preparation for secondary education. The school will clearly distinguish this additional Sex Education from statutory Relationships Education and Health Education.</w:t>
      </w:r>
    </w:p>
    <w:p w14:paraId="69AC826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programme will focus on factual, age-appropriate learning about:</w:t>
      </w:r>
    </w:p>
    <w:p w14:paraId="1A148B4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puberty and the physical and emotional changes associated with growing up;</w:t>
      </w:r>
    </w:p>
    <w:p w14:paraId="213104E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menstruation and menstrual wellbeing;</w:t>
      </w:r>
    </w:p>
    <w:p w14:paraId="7095FC6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correct names for relevant body parts and the concept of privacy;</w:t>
      </w:r>
    </w:p>
    <w:p w14:paraId="4500667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basic factual science of human reproduction and conception, where included in the agreed Year 5/6 programme;</w:t>
      </w:r>
    </w:p>
    <w:p w14:paraId="3B66B5E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healthy relationships, boundaries, respect and seeking help, without unnecessary detail about sexual activity.</w:t>
      </w:r>
    </w:p>
    <w:p w14:paraId="6E5DF36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will not teach explicit sexual techniques or provide unnecessary detail about sexual activity. Content will be medically and scientifically accurate, age appropriate and delivered sensitively.</w:t>
      </w:r>
    </w:p>
    <w:p w14:paraId="254F9A0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Any sex education content outside the science curriculum will be identified in the curriculum information provided to parents/carers in advance.</w:t>
      </w:r>
    </w:p>
    <w:p w14:paraId="79D3B4E8" w14:textId="77777777" w:rsidR="00D36548" w:rsidRPr="00D4383F" w:rsidRDefault="00D4383F">
      <w:pPr>
        <w:pStyle w:val="Heading1"/>
        <w:rPr>
          <w:rFonts w:cstheme="majorHAnsi"/>
          <w:sz w:val="24"/>
          <w:szCs w:val="24"/>
        </w:rPr>
      </w:pPr>
      <w:r w:rsidRPr="00D4383F">
        <w:rPr>
          <w:rFonts w:cstheme="majorHAnsi"/>
          <w:sz w:val="24"/>
          <w:szCs w:val="24"/>
        </w:rPr>
        <w:t xml:space="preserve">9. Health and wellbeing </w:t>
      </w:r>
      <w:r w:rsidRPr="00D4383F">
        <w:rPr>
          <w:rFonts w:cstheme="majorHAnsi"/>
          <w:sz w:val="24"/>
          <w:szCs w:val="24"/>
        </w:rPr>
        <w:t>education</w:t>
      </w:r>
    </w:p>
    <w:p w14:paraId="49D0305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statutory primary Health Education entitlement is organised under the following areas:</w:t>
      </w:r>
    </w:p>
    <w:tbl>
      <w:tblPr>
        <w:tblStyle w:val="TableGrid"/>
        <w:tblW w:w="0" w:type="auto"/>
        <w:jc w:val="center"/>
        <w:tblLook w:val="04A0" w:firstRow="1" w:lastRow="0" w:firstColumn="1" w:lastColumn="0" w:noHBand="0" w:noVBand="1"/>
      </w:tblPr>
      <w:tblGrid>
        <w:gridCol w:w="2592"/>
        <w:gridCol w:w="7200"/>
      </w:tblGrid>
      <w:tr w:rsidR="00D36548" w:rsidRPr="00D4383F" w14:paraId="6F5FCB4F" w14:textId="77777777">
        <w:trPr>
          <w:jc w:val="center"/>
        </w:trPr>
        <w:tc>
          <w:tcPr>
            <w:tcW w:w="2592" w:type="dxa"/>
            <w:shd w:val="clear" w:color="auto" w:fill="1F4E79"/>
            <w:vAlign w:val="center"/>
          </w:tcPr>
          <w:p w14:paraId="52DBC12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Area</w:t>
            </w:r>
          </w:p>
        </w:tc>
        <w:tc>
          <w:tcPr>
            <w:tcW w:w="7200" w:type="dxa"/>
            <w:shd w:val="clear" w:color="auto" w:fill="1F4E79"/>
            <w:vAlign w:val="center"/>
          </w:tcPr>
          <w:p w14:paraId="538D50C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Key learning</w:t>
            </w:r>
          </w:p>
        </w:tc>
      </w:tr>
      <w:tr w:rsidR="00D36548" w:rsidRPr="00D4383F" w14:paraId="55FA8C92" w14:textId="77777777">
        <w:trPr>
          <w:jc w:val="center"/>
        </w:trPr>
        <w:tc>
          <w:tcPr>
            <w:tcW w:w="2592" w:type="dxa"/>
            <w:vAlign w:val="center"/>
          </w:tcPr>
          <w:p w14:paraId="490795A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General wellbeing</w:t>
            </w:r>
          </w:p>
        </w:tc>
        <w:tc>
          <w:tcPr>
            <w:tcW w:w="7200" w:type="dxa"/>
            <w:vAlign w:val="center"/>
          </w:tcPr>
          <w:p w14:paraId="4305F0F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Physical activity, time outdoors, helping others, self-care, emotions, loneliness, bullying, change/loss and bereavement, seeking support and early help.</w:t>
            </w:r>
          </w:p>
        </w:tc>
      </w:tr>
      <w:tr w:rsidR="00D36548" w:rsidRPr="00D4383F" w14:paraId="3C469724" w14:textId="77777777">
        <w:trPr>
          <w:jc w:val="center"/>
        </w:trPr>
        <w:tc>
          <w:tcPr>
            <w:tcW w:w="2592" w:type="dxa"/>
            <w:vAlign w:val="center"/>
          </w:tcPr>
          <w:p w14:paraId="07EFB08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Wellbeing online</w:t>
            </w:r>
          </w:p>
        </w:tc>
        <w:tc>
          <w:tcPr>
            <w:tcW w:w="7200" w:type="dxa"/>
            <w:vAlign w:val="center"/>
          </w:tcPr>
          <w:p w14:paraId="11531B2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Benefits and risks of internet use, screen time, online relationships, online content, respectful online behaviour, age restrictions, gaming/financial harms, misinformation, privacy and reporting concerns.</w:t>
            </w:r>
          </w:p>
        </w:tc>
      </w:tr>
      <w:tr w:rsidR="00D36548" w:rsidRPr="00D4383F" w14:paraId="0F834163" w14:textId="77777777">
        <w:trPr>
          <w:jc w:val="center"/>
        </w:trPr>
        <w:tc>
          <w:tcPr>
            <w:tcW w:w="2592" w:type="dxa"/>
            <w:vAlign w:val="center"/>
          </w:tcPr>
          <w:p w14:paraId="7B211B5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Physical health and fitness</w:t>
            </w:r>
          </w:p>
        </w:tc>
        <w:tc>
          <w:tcPr>
            <w:tcW w:w="7200" w:type="dxa"/>
            <w:vAlign w:val="center"/>
          </w:tcPr>
          <w:p w14:paraId="4022BB9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Active lifestyles, daily/weekly activity, risks of inactivity and knowing when to seek support.</w:t>
            </w:r>
          </w:p>
        </w:tc>
      </w:tr>
      <w:tr w:rsidR="00D36548" w:rsidRPr="00D4383F" w14:paraId="55A6CEFD" w14:textId="77777777">
        <w:trPr>
          <w:jc w:val="center"/>
        </w:trPr>
        <w:tc>
          <w:tcPr>
            <w:tcW w:w="2592" w:type="dxa"/>
            <w:vAlign w:val="center"/>
          </w:tcPr>
          <w:p w14:paraId="397028E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Healthy eating</w:t>
            </w:r>
          </w:p>
        </w:tc>
        <w:tc>
          <w:tcPr>
            <w:tcW w:w="7200" w:type="dxa"/>
            <w:vAlign w:val="center"/>
          </w:tcPr>
          <w:p w14:paraId="1EDE6A7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Healthy diet, calories/nutrition, positive relationship with food, meal planning/preparation and risks associated with poor diet.</w:t>
            </w:r>
          </w:p>
        </w:tc>
      </w:tr>
      <w:tr w:rsidR="00D36548" w:rsidRPr="00D4383F" w14:paraId="0D672789" w14:textId="77777777">
        <w:trPr>
          <w:jc w:val="center"/>
        </w:trPr>
        <w:tc>
          <w:tcPr>
            <w:tcW w:w="2592" w:type="dxa"/>
            <w:vAlign w:val="center"/>
          </w:tcPr>
          <w:p w14:paraId="7B5F9A7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Drugs, alcohol, tobacco and vaping</w:t>
            </w:r>
          </w:p>
        </w:tc>
        <w:tc>
          <w:tcPr>
            <w:tcW w:w="7200" w:type="dxa"/>
            <w:vAlign w:val="center"/>
          </w:tcPr>
          <w:p w14:paraId="1DB6EB2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Age-appropriate factual information about harmful substances, smoking, vaping, alcohol and drugs, including risks and nicotine addiction.</w:t>
            </w:r>
          </w:p>
        </w:tc>
      </w:tr>
      <w:tr w:rsidR="00D36548" w:rsidRPr="00D4383F" w14:paraId="5E44E8D1" w14:textId="77777777">
        <w:trPr>
          <w:jc w:val="center"/>
        </w:trPr>
        <w:tc>
          <w:tcPr>
            <w:tcW w:w="2592" w:type="dxa"/>
            <w:vAlign w:val="center"/>
          </w:tcPr>
          <w:p w14:paraId="49645E6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Health protection and prevention</w:t>
            </w:r>
          </w:p>
        </w:tc>
        <w:tc>
          <w:tcPr>
            <w:tcW w:w="7200" w:type="dxa"/>
            <w:vAlign w:val="center"/>
          </w:tcPr>
          <w:p w14:paraId="2A857E2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Illness, sun safety, </w:t>
            </w:r>
            <w:r w:rsidRPr="00D4383F">
              <w:rPr>
                <w:rFonts w:asciiTheme="majorHAnsi" w:hAnsiTheme="majorHAnsi" w:cstheme="majorHAnsi"/>
                <w:sz w:val="24"/>
                <w:szCs w:val="24"/>
              </w:rPr>
              <w:t>sleep, dental health, hygiene, germs, vaccination and immunisation.</w:t>
            </w:r>
          </w:p>
        </w:tc>
      </w:tr>
      <w:tr w:rsidR="00D36548" w:rsidRPr="00D4383F" w14:paraId="56457027" w14:textId="77777777">
        <w:trPr>
          <w:jc w:val="center"/>
        </w:trPr>
        <w:tc>
          <w:tcPr>
            <w:tcW w:w="2592" w:type="dxa"/>
            <w:vAlign w:val="center"/>
          </w:tcPr>
          <w:p w14:paraId="14A48D8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Personal safety</w:t>
            </w:r>
          </w:p>
        </w:tc>
        <w:tc>
          <w:tcPr>
            <w:tcW w:w="7200" w:type="dxa"/>
            <w:vAlign w:val="center"/>
          </w:tcPr>
          <w:p w14:paraId="07D6CB6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Hazards, fire safety, road/rail/water safety and strategies for reducing risk.</w:t>
            </w:r>
          </w:p>
        </w:tc>
      </w:tr>
      <w:tr w:rsidR="00D36548" w:rsidRPr="00D4383F" w14:paraId="7B40F945" w14:textId="77777777">
        <w:trPr>
          <w:jc w:val="center"/>
        </w:trPr>
        <w:tc>
          <w:tcPr>
            <w:tcW w:w="2592" w:type="dxa"/>
            <w:vAlign w:val="center"/>
          </w:tcPr>
          <w:p w14:paraId="40EC642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Basic first aid</w:t>
            </w:r>
          </w:p>
        </w:tc>
        <w:tc>
          <w:tcPr>
            <w:tcW w:w="7200" w:type="dxa"/>
            <w:vAlign w:val="center"/>
          </w:tcPr>
          <w:p w14:paraId="47CC14A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How to contact emergency services effectively and basic first aid for common injuries and ailments, including head injuries.</w:t>
            </w:r>
          </w:p>
        </w:tc>
      </w:tr>
      <w:tr w:rsidR="00D36548" w:rsidRPr="00D4383F" w14:paraId="63209D03" w14:textId="77777777">
        <w:trPr>
          <w:jc w:val="center"/>
        </w:trPr>
        <w:tc>
          <w:tcPr>
            <w:tcW w:w="2592" w:type="dxa"/>
            <w:vAlign w:val="center"/>
          </w:tcPr>
          <w:p w14:paraId="06A7CB8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Developing bodies</w:t>
            </w:r>
          </w:p>
        </w:tc>
        <w:tc>
          <w:tcPr>
            <w:tcW w:w="7200" w:type="dxa"/>
            <w:vAlign w:val="center"/>
          </w:tcPr>
          <w:p w14:paraId="6E37861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Growth, human lifecycle, puberty, correct names for body parts, privacy/boundaries and menstruation.</w:t>
            </w:r>
          </w:p>
        </w:tc>
      </w:tr>
    </w:tbl>
    <w:p w14:paraId="753468CF" w14:textId="77777777" w:rsidR="00D36548" w:rsidRPr="00D4383F" w:rsidRDefault="00D4383F">
      <w:pPr>
        <w:pStyle w:val="Heading1"/>
        <w:rPr>
          <w:rFonts w:cstheme="majorHAnsi"/>
          <w:sz w:val="24"/>
          <w:szCs w:val="24"/>
        </w:rPr>
      </w:pPr>
      <w:r w:rsidRPr="00D4383F">
        <w:rPr>
          <w:rFonts w:cstheme="majorHAnsi"/>
          <w:sz w:val="24"/>
          <w:szCs w:val="24"/>
        </w:rPr>
        <w:t>10. Inclusion, SEND and accessibility</w:t>
      </w:r>
    </w:p>
    <w:p w14:paraId="76A5BC8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RSHE must be accessible to all pupils. The </w:t>
      </w:r>
      <w:r w:rsidRPr="00D4383F">
        <w:rPr>
          <w:rFonts w:asciiTheme="majorHAnsi" w:hAnsiTheme="majorHAnsi" w:cstheme="majorHAnsi"/>
          <w:sz w:val="24"/>
          <w:szCs w:val="24"/>
        </w:rPr>
        <w:t>school recognises that pupils with SEND may have additional vulnerabilities and may require explicit teaching, repetition, visual support, alternative communication and greater opportunities to practise safety and relationship skills.</w:t>
      </w:r>
    </w:p>
    <w:p w14:paraId="4F3EF75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Use differentiated language, visuals, symbols, social stories and concrete examples where appropriate.</w:t>
      </w:r>
    </w:p>
    <w:p w14:paraId="3DA38C2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Break learning into manageable steps and check understanding frequently.</w:t>
      </w:r>
    </w:p>
    <w:p w14:paraId="4644ECA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Pre-teach key vocabulary and revisit it regularly.</w:t>
      </w:r>
    </w:p>
    <w:p w14:paraId="5D37310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Use predictable routines and clear lesson structures.</w:t>
      </w:r>
    </w:p>
    <w:p w14:paraId="2961F25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Provide alternative ways for pupils to communicate questions or concerns.</w:t>
      </w:r>
    </w:p>
    <w:p w14:paraId="2D9B41B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Consider sensory, communication, cognitive and emotional needs when planning sensitive lessons.</w:t>
      </w:r>
    </w:p>
    <w:p w14:paraId="3835975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Work with the SENCo, class team and, where appropriate, external </w:t>
      </w:r>
      <w:r w:rsidRPr="00D4383F">
        <w:rPr>
          <w:rFonts w:asciiTheme="majorHAnsi" w:hAnsiTheme="majorHAnsi" w:cstheme="majorHAnsi"/>
          <w:sz w:val="24"/>
          <w:szCs w:val="24"/>
        </w:rPr>
        <w:t>professionals to make reasonable adjustments.</w:t>
      </w:r>
    </w:p>
    <w:p w14:paraId="5650898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Adaptation will not mean automatically removing pupils from statutory learning. The starting point will be reasonable adjustment, accessible teaching and additional support.</w:t>
      </w:r>
    </w:p>
    <w:p w14:paraId="6AB89372" w14:textId="77777777" w:rsidR="00D36548" w:rsidRPr="00D4383F" w:rsidRDefault="00D4383F">
      <w:pPr>
        <w:pStyle w:val="Heading1"/>
        <w:rPr>
          <w:rFonts w:cstheme="majorHAnsi"/>
          <w:sz w:val="24"/>
          <w:szCs w:val="24"/>
        </w:rPr>
      </w:pPr>
      <w:r w:rsidRPr="00D4383F">
        <w:rPr>
          <w:rFonts w:cstheme="majorHAnsi"/>
          <w:sz w:val="24"/>
          <w:szCs w:val="24"/>
        </w:rPr>
        <w:t>11. Equality, diversity, families and respectful relationships</w:t>
      </w:r>
    </w:p>
    <w:p w14:paraId="45FD7E5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will teach pupils to respect themselves and others and to understand that people and families can be different. Family examples may include single-parent families, same-sex parents, grandparents, kinship carers, adoptive families, foster families and young carers.</w:t>
      </w:r>
    </w:p>
    <w:p w14:paraId="28E4A81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Teaching will not stigmatise pupils because of their family circumstances, disability, sex, race, religion or belief, sexual orientation, gender reassignment or any other protected characteristic. The school will comply with the Equality Act 2010 and the Public Sector Equality Duty.</w:t>
      </w:r>
    </w:p>
    <w:p w14:paraId="67118E6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will challenge bullying, prejudice, stereotypes and derogatory language. Staff will model respectful behaviour and will address harmful ideas rather than labelling or humiliating pupils.</w:t>
      </w:r>
    </w:p>
    <w:p w14:paraId="27914F5A" w14:textId="77777777" w:rsidR="00D36548" w:rsidRPr="00D4383F" w:rsidRDefault="00D4383F">
      <w:pPr>
        <w:pStyle w:val="Heading1"/>
        <w:rPr>
          <w:rFonts w:cstheme="majorHAnsi"/>
          <w:sz w:val="24"/>
          <w:szCs w:val="24"/>
        </w:rPr>
      </w:pPr>
      <w:r w:rsidRPr="00D4383F">
        <w:rPr>
          <w:rFonts w:cstheme="majorHAnsi"/>
          <w:sz w:val="24"/>
          <w:szCs w:val="24"/>
        </w:rPr>
        <w:t>12. Online safety and digital wellbeing</w:t>
      </w:r>
    </w:p>
    <w:p w14:paraId="0C9DF72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Online safety is integrated throughout Relationships Education and Health Education. Pupils will learn that the same expectations of kindness, respect, privacy and safety apply online as offline.</w:t>
      </w:r>
    </w:p>
    <w:p w14:paraId="23205E2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not sharing personal information unnecessarily;</w:t>
      </w:r>
    </w:p>
    <w:p w14:paraId="2BC7D73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using privacy and location settings appropriately;</w:t>
      </w:r>
    </w:p>
    <w:p w14:paraId="2C98B19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recognising harmful contact and content;</w:t>
      </w:r>
    </w:p>
    <w:p w14:paraId="78E2192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understanding that online information may be inaccurate or deliberately misleading;</w:t>
      </w:r>
    </w:p>
    <w:p w14:paraId="14EB5CC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resisting pressure to share information or images;</w:t>
      </w:r>
    </w:p>
    <w:p w14:paraId="245260D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understanding that online material can be copied or circulated beyond their control;</w:t>
      </w:r>
    </w:p>
    <w:p w14:paraId="075A9E5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knowing how and where to report concerns;</w:t>
      </w:r>
    </w:p>
    <w:p w14:paraId="3A79D90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understanding age restrictions for social media, apps and games;</w:t>
      </w:r>
    </w:p>
    <w:p w14:paraId="6F86F44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recognising online bullying, harassment and unsafe contact.</w:t>
      </w:r>
    </w:p>
    <w:p w14:paraId="2756E7E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If emerging online issues are identified in the school community, the curriculum may be adapted. Parents/carers will be informed where a significant change from the published programme is required.</w:t>
      </w:r>
    </w:p>
    <w:p w14:paraId="4C0AFF67" w14:textId="77777777" w:rsidR="00D36548" w:rsidRPr="00D4383F" w:rsidRDefault="00D4383F">
      <w:pPr>
        <w:pStyle w:val="Heading1"/>
        <w:rPr>
          <w:rFonts w:cstheme="majorHAnsi"/>
          <w:sz w:val="24"/>
          <w:szCs w:val="24"/>
        </w:rPr>
      </w:pPr>
      <w:r w:rsidRPr="00D4383F">
        <w:rPr>
          <w:rFonts w:cstheme="majorHAnsi"/>
          <w:sz w:val="24"/>
          <w:szCs w:val="24"/>
        </w:rPr>
        <w:t>13. Safeguarding and child protection</w:t>
      </w:r>
    </w:p>
    <w:p w14:paraId="5CF4E9A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RSHE is a safeguarding curriculum as well as an educational programme. Lessons may increase the likelihood that a pupil discloses a concern. All staff must therefore understand and follow the school's safeguarding and child protection procedures.</w:t>
      </w:r>
    </w:p>
    <w:p w14:paraId="3AB3D62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Staff must act immediately on concerns about a pupil's welfare or safety.</w:t>
      </w:r>
    </w:p>
    <w:p w14:paraId="202C4C8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Concerns must be reported to the DSL/deputy DSL in accordance with the school's procedures.</w:t>
      </w:r>
    </w:p>
    <w:p w14:paraId="5E8071C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Staff must never promise a pupil that information will be kept secret.</w:t>
      </w:r>
    </w:p>
    <w:p w14:paraId="009A4CA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Only relevant information should be shared with those who need to know.</w:t>
      </w:r>
    </w:p>
    <w:p w14:paraId="3A7C006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Pupils should understand how confidentiality works before sensitive discussion begins.</w:t>
      </w:r>
    </w:p>
    <w:p w14:paraId="42277549"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External visitors must agree safeguarding arrangements with the school before teaching.</w:t>
      </w:r>
    </w:p>
    <w:p w14:paraId="7ECB53F9"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Where appropriate, pupils will be signposted to trusted adults and relevant external support services.</w:t>
      </w:r>
    </w:p>
    <w:p w14:paraId="59616B3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Any disclosure relating to abuse, neglect, exploitation, harmful sexual behaviour or other safeguarding concerns will be managed through the school's safeguarding procedures, not through classroom discussion.</w:t>
      </w:r>
    </w:p>
    <w:p w14:paraId="095B359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Teaching will make clear that a child is never to blame for experiencing abuse or </w:t>
      </w:r>
      <w:r w:rsidRPr="00D4383F">
        <w:rPr>
          <w:rFonts w:asciiTheme="majorHAnsi" w:hAnsiTheme="majorHAnsi" w:cstheme="majorHAnsi"/>
          <w:sz w:val="24"/>
          <w:szCs w:val="24"/>
        </w:rPr>
        <w:t>harmful behaviour.</w:t>
      </w:r>
    </w:p>
    <w:p w14:paraId="0B247B97" w14:textId="77777777" w:rsidR="00D36548" w:rsidRPr="00D4383F" w:rsidRDefault="00D4383F">
      <w:pPr>
        <w:pStyle w:val="Heading1"/>
        <w:rPr>
          <w:rFonts w:cstheme="majorHAnsi"/>
          <w:sz w:val="24"/>
          <w:szCs w:val="24"/>
        </w:rPr>
      </w:pPr>
      <w:r w:rsidRPr="00D4383F">
        <w:rPr>
          <w:rFonts w:cstheme="majorHAnsi"/>
          <w:sz w:val="24"/>
          <w:szCs w:val="24"/>
        </w:rPr>
        <w:t>14. Teaching sensitive topics and managing difficult questions</w:t>
      </w:r>
    </w:p>
    <w:p w14:paraId="11A60223" w14:textId="77777777" w:rsidR="00D36548" w:rsidRPr="00D4383F" w:rsidRDefault="00D4383F">
      <w:pPr>
        <w:pStyle w:val="Heading2"/>
        <w:rPr>
          <w:rFonts w:cstheme="majorHAnsi"/>
          <w:sz w:val="24"/>
          <w:szCs w:val="24"/>
        </w:rPr>
      </w:pPr>
      <w:r w:rsidRPr="00D4383F">
        <w:rPr>
          <w:rFonts w:cstheme="majorHAnsi"/>
          <w:sz w:val="24"/>
          <w:szCs w:val="24"/>
        </w:rPr>
        <w:t>14.1 Creating a safe learning environment</w:t>
      </w:r>
    </w:p>
    <w:p w14:paraId="28ACA79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Establish clear ground rules before discussion.</w:t>
      </w:r>
    </w:p>
    <w:p w14:paraId="02A74D5E"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Use inclusive and respectful language.</w:t>
      </w:r>
    </w:p>
    <w:p w14:paraId="674FB10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Use distancing techniques, scenarios and fictional examples where appropriate.</w:t>
      </w:r>
    </w:p>
    <w:p w14:paraId="7746C43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Do not require pupils to disclose personal experiences.</w:t>
      </w:r>
    </w:p>
    <w:p w14:paraId="70E15F3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Provide an anonymous question box where appropriate.</w:t>
      </w:r>
    </w:p>
    <w:p w14:paraId="110DE17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Allow pupils to pass on an activity where this is necessary for safeguarding or individual need, while ensuring they receive appropriate learning/support.</w:t>
      </w:r>
    </w:p>
    <w:p w14:paraId="5C8EBBF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Provide a calm route to speak privately with a trusted adult.</w:t>
      </w:r>
    </w:p>
    <w:p w14:paraId="6ACEB020" w14:textId="77777777" w:rsidR="00D36548" w:rsidRPr="00D4383F" w:rsidRDefault="00D4383F">
      <w:pPr>
        <w:pStyle w:val="Heading2"/>
        <w:rPr>
          <w:rFonts w:cstheme="majorHAnsi"/>
          <w:sz w:val="24"/>
          <w:szCs w:val="24"/>
        </w:rPr>
      </w:pPr>
      <w:r w:rsidRPr="00D4383F">
        <w:rPr>
          <w:rFonts w:cstheme="majorHAnsi"/>
          <w:sz w:val="24"/>
          <w:szCs w:val="24"/>
        </w:rPr>
        <w:t>14.2 Questions</w:t>
      </w:r>
    </w:p>
    <w:p w14:paraId="1647A5F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Pupils may ask questions that go beyond the school's agreed Sex Education programme. Teachers should respond calmly and appropriately, considering the age and maturity of the pupil and the context.</w:t>
      </w:r>
    </w:p>
    <w:p w14:paraId="55B62B8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Questions within the planned curriculum will be answered accurately and age appropriately.</w:t>
      </w:r>
    </w:p>
    <w:p w14:paraId="48B0A22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Questions outside the curriculum will not automatically be answered in detail during the lesson.</w:t>
      </w:r>
    </w:p>
    <w:p w14:paraId="3B48756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The </w:t>
      </w:r>
      <w:r w:rsidRPr="00D4383F">
        <w:rPr>
          <w:rFonts w:asciiTheme="majorHAnsi" w:hAnsiTheme="majorHAnsi" w:cstheme="majorHAnsi"/>
          <w:sz w:val="24"/>
          <w:szCs w:val="24"/>
        </w:rPr>
        <w:t>teacher may explain that the question is not part of the current lesson and arrange a private conversation with a parent/carer or appropriate trusted adult where suitable.</w:t>
      </w:r>
    </w:p>
    <w:p w14:paraId="65CD9B3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Where a question raises a safeguarding concern, the teacher will follow safeguarding procedures.</w:t>
      </w:r>
    </w:p>
    <w:p w14:paraId="1BC90EF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Teachers will not shame pupils for asking questions.</w:t>
      </w:r>
    </w:p>
    <w:p w14:paraId="0B4FB5C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school will aim to prevent pupils seeking unreliable or harmful information online by providing appropriate support and signposting.</w:t>
      </w:r>
    </w:p>
    <w:p w14:paraId="0BFC8469" w14:textId="77777777" w:rsidR="00D36548" w:rsidRPr="00D4383F" w:rsidRDefault="00D4383F">
      <w:pPr>
        <w:pStyle w:val="Heading1"/>
        <w:rPr>
          <w:rFonts w:cstheme="majorHAnsi"/>
          <w:sz w:val="24"/>
          <w:szCs w:val="24"/>
        </w:rPr>
      </w:pPr>
      <w:r w:rsidRPr="00D4383F">
        <w:rPr>
          <w:rFonts w:cstheme="majorHAnsi"/>
          <w:sz w:val="24"/>
          <w:szCs w:val="24"/>
        </w:rPr>
        <w:t>15. Parents and carers: consultation, information and withdrawal</w:t>
      </w:r>
    </w:p>
    <w:p w14:paraId="717054B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recognises parents and carers as important partners. Parents/carers will be consulted when the RSE policy is developed and reviewed, and the school will provide clear information about what is taught.</w:t>
      </w:r>
    </w:p>
    <w:p w14:paraId="7D6E962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policy will be published on the school website and made available on request.</w:t>
      </w:r>
    </w:p>
    <w:p w14:paraId="1683D78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Parents/carers will be given clear information about the content and sequencing of RSHE.</w:t>
      </w:r>
    </w:p>
    <w:p w14:paraId="5AF0ED4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Representative samples of planned resources will be shared where appropriate, particularly for sensitive content.</w:t>
      </w:r>
    </w:p>
    <w:p w14:paraId="67CC7BD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Parents/carers may request to view curriculum materials used in RSHE.</w:t>
      </w:r>
    </w:p>
    <w:p w14:paraId="2AB7AAE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school will support parents/carers in talking to their children about RSHE topics.</w:t>
      </w:r>
    </w:p>
    <w:p w14:paraId="6324BB9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Parents/carers cannot veto statutory Relationships Education or Health Education content.</w:t>
      </w:r>
    </w:p>
    <w:p w14:paraId="133E190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Parents/carers have a right to request withdrawal from some or all Sex Education delivered as part of statutory RSE, subject to the legal position described below.</w:t>
      </w:r>
    </w:p>
    <w:p w14:paraId="5052F4B6" w14:textId="77777777" w:rsidR="00D36548" w:rsidRPr="00D4383F" w:rsidRDefault="00D4383F">
      <w:pPr>
        <w:pStyle w:val="Heading2"/>
        <w:rPr>
          <w:rFonts w:cstheme="majorHAnsi"/>
          <w:sz w:val="24"/>
          <w:szCs w:val="24"/>
        </w:rPr>
      </w:pPr>
      <w:r w:rsidRPr="00D4383F">
        <w:rPr>
          <w:rFonts w:cstheme="majorHAnsi"/>
          <w:sz w:val="24"/>
          <w:szCs w:val="24"/>
        </w:rPr>
        <w:t>15.1 Withdrawal from Sex Education</w:t>
      </w:r>
    </w:p>
    <w:p w14:paraId="1982DBC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Where primary schools provide Sex Education, the DfE guidance </w:t>
      </w:r>
      <w:r w:rsidRPr="00D4383F">
        <w:rPr>
          <w:rFonts w:asciiTheme="majorHAnsi" w:hAnsiTheme="majorHAnsi" w:cstheme="majorHAnsi"/>
          <w:sz w:val="24"/>
          <w:szCs w:val="24"/>
        </w:rPr>
        <w:t>states that the headteacher must automatically grant a parent/carer's request to withdraw a pupil from Sex Education, except for content taught as part of the science curriculum. Parents/carers cannot withdraw pupils from Relationships Education, Health Education or science teaching.</w:t>
      </w:r>
    </w:p>
    <w:p w14:paraId="4C36768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Before a withdrawal request is finalised, the headteacher will normally discuss the request with the parent/carer and, where appropriate, the pupil, to explain the purpose and content of the programme and discuss the possible social and emotional implications of withdrawal. The discussion and decision will be recorded.</w:t>
      </w:r>
    </w:p>
    <w:p w14:paraId="606ED27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Where a pupil is withdrawn, the school will provide appropriate and purposeful education during the period of withdrawal. The pupil will continue to receive statutory Relationships Education, Health Education and relevant science teaching.</w:t>
      </w:r>
    </w:p>
    <w:p w14:paraId="168D17DE" w14:textId="77777777" w:rsidR="00D36548" w:rsidRPr="00D4383F" w:rsidRDefault="00D4383F">
      <w:pPr>
        <w:pStyle w:val="Heading1"/>
        <w:rPr>
          <w:rFonts w:cstheme="majorHAnsi"/>
          <w:sz w:val="24"/>
          <w:szCs w:val="24"/>
        </w:rPr>
      </w:pPr>
      <w:r w:rsidRPr="00D4383F">
        <w:rPr>
          <w:rFonts w:cstheme="majorHAnsi"/>
          <w:sz w:val="24"/>
          <w:szCs w:val="24"/>
        </w:rPr>
        <w:t>16. Use of resources and external providers</w:t>
      </w:r>
    </w:p>
    <w:p w14:paraId="3DD9640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school remains responsible for all RSHE content, including sessions delivered by external organisations. Before use, the school will check that resources and providers are accurate, age and stage appropriate, accessible, unbiased and consistent with this policy.</w:t>
      </w:r>
    </w:p>
    <w:p w14:paraId="57E0671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lesson plans and materials should be reviewed in advance;</w:t>
      </w:r>
    </w:p>
    <w:p w14:paraId="56DEEC4A"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visitor/provider credentials and safeguarding arrangements should be checked;</w:t>
      </w:r>
    </w:p>
    <w:p w14:paraId="411BA90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school will retain responsibility for the content and delivery;</w:t>
      </w:r>
    </w:p>
    <w:p w14:paraId="5D312D37"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parents/carers will be able to view RSHE materials used by the school, subject to copyright requirements;</w:t>
      </w:r>
    </w:p>
    <w:p w14:paraId="42A07A7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providers must understand the school's safeguarding, confidentiality and reporting arrangements;</w:t>
      </w:r>
    </w:p>
    <w:p w14:paraId="2187C94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resources that promote harmful products or contain inappropriate commercial or partisan content will not be used.</w:t>
      </w:r>
    </w:p>
    <w:p w14:paraId="714187A6" w14:textId="77777777" w:rsidR="00D36548" w:rsidRPr="00D4383F" w:rsidRDefault="00D4383F">
      <w:pPr>
        <w:pStyle w:val="Heading1"/>
        <w:rPr>
          <w:rFonts w:cstheme="majorHAnsi"/>
          <w:sz w:val="24"/>
          <w:szCs w:val="24"/>
        </w:rPr>
      </w:pPr>
      <w:r w:rsidRPr="00D4383F">
        <w:rPr>
          <w:rFonts w:cstheme="majorHAnsi"/>
          <w:sz w:val="24"/>
          <w:szCs w:val="24"/>
        </w:rPr>
        <w:t>17. Assessment, monitoring and evaluation</w:t>
      </w:r>
    </w:p>
    <w:p w14:paraId="79FDE9D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Assessment in RSHE will focus on pupils' knowledge, understanding and ability to apply skills rather than on personal disclosure or attitudes that can be measured as right or wrong.</w:t>
      </w:r>
    </w:p>
    <w:p w14:paraId="1D016ED2"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teachers will use questioning, discussion, retrieval and low-stakes assessment to check learning;</w:t>
      </w:r>
    </w:p>
    <w:p w14:paraId="5B05364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misconceptions will be identified and addressed;</w:t>
      </w:r>
    </w:p>
    <w:p w14:paraId="7200CA7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pupils will have opportunities to practise and apply safety, communication and relationship skills;</w:t>
      </w:r>
    </w:p>
    <w:p w14:paraId="236319C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RSHE lead will monitor curriculum coverage and progression;</w:t>
      </w:r>
    </w:p>
    <w:p w14:paraId="2BE1DC10"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pupil voice will be used to evaluate relevance, engagement and safety;</w:t>
      </w:r>
    </w:p>
    <w:p w14:paraId="12C41EB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parent/carer feedback and staff feedback will inform review;</w:t>
      </w:r>
    </w:p>
    <w:p w14:paraId="08DA2DB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the impact of the curriculum will be considered alongside safeguarding, behaviour, attendance, wellbeing and personal development information where appropriate and lawful.</w:t>
      </w:r>
    </w:p>
    <w:p w14:paraId="35188EE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Monitoring will follow the school's wider curriculum monitoring approach and will be proportionate, purposeful and focused on improving pupil outcomes.</w:t>
      </w:r>
    </w:p>
    <w:p w14:paraId="0A2F5AC9" w14:textId="77777777" w:rsidR="00D36548" w:rsidRPr="00D4383F" w:rsidRDefault="00D4383F">
      <w:pPr>
        <w:pStyle w:val="Heading1"/>
        <w:rPr>
          <w:rFonts w:cstheme="majorHAnsi"/>
          <w:sz w:val="24"/>
          <w:szCs w:val="24"/>
        </w:rPr>
      </w:pPr>
      <w:r w:rsidRPr="00D4383F">
        <w:rPr>
          <w:rFonts w:cstheme="majorHAnsi"/>
          <w:sz w:val="24"/>
          <w:szCs w:val="24"/>
        </w:rPr>
        <w:t>18. Staff training and support</w:t>
      </w:r>
    </w:p>
    <w:p w14:paraId="55BA983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Staff will receive appropriate safeguarding training and updates.</w:t>
      </w:r>
    </w:p>
    <w:p w14:paraId="726DCBC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Staff delivering sensitive RSHE content will be supported with planning, vocabulary, resources and agreed responses to questions.</w:t>
      </w:r>
    </w:p>
    <w:p w14:paraId="793020D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Staff will know the school's procedures for disclosures and safeguarding concerns.</w:t>
      </w:r>
    </w:p>
    <w:p w14:paraId="46686F68"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Where a specialist or particularly sensitive topic requires additional expertise, the school will seek appropriate professional advice.</w:t>
      </w:r>
    </w:p>
    <w:p w14:paraId="2F86D58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External providers will not replace the school's responsibility for ensuring safe and appropriate delivery.</w:t>
      </w:r>
    </w:p>
    <w:p w14:paraId="62B97ED7" w14:textId="77777777" w:rsidR="00D36548" w:rsidRPr="00D4383F" w:rsidRDefault="00D4383F">
      <w:pPr>
        <w:pStyle w:val="Heading1"/>
        <w:rPr>
          <w:rFonts w:cstheme="majorHAnsi"/>
          <w:sz w:val="24"/>
          <w:szCs w:val="24"/>
        </w:rPr>
      </w:pPr>
      <w:r w:rsidRPr="00D4383F">
        <w:rPr>
          <w:rFonts w:cstheme="majorHAnsi"/>
          <w:sz w:val="24"/>
          <w:szCs w:val="24"/>
        </w:rPr>
        <w:t>19. Confidentiality, records and information sharing</w:t>
      </w:r>
    </w:p>
    <w:p w14:paraId="0143FB2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Pupils will be told that RSHE discussions are respectful and private but are not confidential where a safeguarding concern arises. Staff must not promise secrecy. Information will be handled sensitively and shared only with those who need to know, in accordance with safeguarding, data protection and school procedures.</w:t>
      </w:r>
    </w:p>
    <w:p w14:paraId="1F327C5B" w14:textId="2DD69921"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Records of safeguarding disclosures or concerns will be maintained through the school's established safeguarding systems rather than as informal RSHE notes.</w:t>
      </w:r>
      <w:r w:rsidRPr="00D4383F">
        <w:rPr>
          <w:rFonts w:asciiTheme="majorHAnsi" w:hAnsiTheme="majorHAnsi" w:cstheme="majorHAnsi"/>
          <w:sz w:val="24"/>
          <w:szCs w:val="24"/>
        </w:rPr>
        <w:br w:type="page"/>
      </w:r>
    </w:p>
    <w:p w14:paraId="6ED969A6" w14:textId="77777777" w:rsidR="00D36548" w:rsidRPr="00D4383F" w:rsidRDefault="00D4383F">
      <w:pPr>
        <w:pStyle w:val="Heading1"/>
        <w:rPr>
          <w:rFonts w:cstheme="majorHAnsi"/>
          <w:sz w:val="24"/>
          <w:szCs w:val="24"/>
        </w:rPr>
      </w:pPr>
      <w:r w:rsidRPr="00D4383F">
        <w:rPr>
          <w:rFonts w:cstheme="majorHAnsi"/>
          <w:sz w:val="24"/>
          <w:szCs w:val="24"/>
        </w:rPr>
        <w:t>Appendix 1 – Primary curriculum overview</w:t>
      </w:r>
    </w:p>
    <w:p w14:paraId="25B7072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The following overview can be used alongside the school's detailed RSHE curriculum map.</w:t>
      </w:r>
    </w:p>
    <w:tbl>
      <w:tblPr>
        <w:tblStyle w:val="TableGrid"/>
        <w:tblW w:w="0" w:type="auto"/>
        <w:jc w:val="center"/>
        <w:tblLook w:val="04A0" w:firstRow="1" w:lastRow="0" w:firstColumn="1" w:lastColumn="0" w:noHBand="0" w:noVBand="1"/>
      </w:tblPr>
      <w:tblGrid>
        <w:gridCol w:w="1440"/>
        <w:gridCol w:w="8352"/>
      </w:tblGrid>
      <w:tr w:rsidR="00D36548" w:rsidRPr="00D4383F" w14:paraId="6809357D" w14:textId="77777777">
        <w:trPr>
          <w:jc w:val="center"/>
        </w:trPr>
        <w:tc>
          <w:tcPr>
            <w:tcW w:w="1440" w:type="dxa"/>
            <w:shd w:val="clear" w:color="auto" w:fill="1F4E79"/>
            <w:vAlign w:val="center"/>
          </w:tcPr>
          <w:p w14:paraId="799A5B2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Year group</w:t>
            </w:r>
          </w:p>
        </w:tc>
        <w:tc>
          <w:tcPr>
            <w:tcW w:w="8352" w:type="dxa"/>
            <w:shd w:val="clear" w:color="auto" w:fill="1F4E79"/>
            <w:vAlign w:val="center"/>
          </w:tcPr>
          <w:p w14:paraId="31A6D36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Suggested focus</w:t>
            </w:r>
          </w:p>
        </w:tc>
      </w:tr>
      <w:tr w:rsidR="00D36548" w:rsidRPr="00D4383F" w14:paraId="5FE4F83E" w14:textId="77777777">
        <w:trPr>
          <w:jc w:val="center"/>
        </w:trPr>
        <w:tc>
          <w:tcPr>
            <w:tcW w:w="1440" w:type="dxa"/>
            <w:vAlign w:val="center"/>
          </w:tcPr>
          <w:p w14:paraId="4455EE2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EYFS</w:t>
            </w:r>
          </w:p>
        </w:tc>
        <w:tc>
          <w:tcPr>
            <w:tcW w:w="8352" w:type="dxa"/>
            <w:vAlign w:val="center"/>
          </w:tcPr>
          <w:p w14:paraId="2F9E1DA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Families and people who care for us; friendships; kindness; emotions; boundaries and personal safety; </w:t>
            </w:r>
            <w:r w:rsidRPr="00D4383F">
              <w:rPr>
                <w:rFonts w:asciiTheme="majorHAnsi" w:hAnsiTheme="majorHAnsi" w:cstheme="majorHAnsi"/>
                <w:sz w:val="24"/>
                <w:szCs w:val="24"/>
              </w:rPr>
              <w:t>correct vocabulary for body parts; trusted adults; healthy routines, hygiene, sleep, food and physical activity.</w:t>
            </w:r>
          </w:p>
        </w:tc>
      </w:tr>
      <w:tr w:rsidR="00D36548" w:rsidRPr="00D4383F" w14:paraId="4117AD8F" w14:textId="77777777">
        <w:trPr>
          <w:jc w:val="center"/>
        </w:trPr>
        <w:tc>
          <w:tcPr>
            <w:tcW w:w="1440" w:type="dxa"/>
            <w:vAlign w:val="center"/>
          </w:tcPr>
          <w:p w14:paraId="6E145B8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1</w:t>
            </w:r>
          </w:p>
        </w:tc>
        <w:tc>
          <w:tcPr>
            <w:tcW w:w="8352" w:type="dxa"/>
            <w:vAlign w:val="center"/>
          </w:tcPr>
          <w:p w14:paraId="1E0857A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Families; friendships; emotions; respectful behaviour; sharing and turn-taking; simple boundaries; being safe; online safety foundations; healthy routines.</w:t>
            </w:r>
          </w:p>
        </w:tc>
      </w:tr>
      <w:tr w:rsidR="00D36548" w:rsidRPr="00D4383F" w14:paraId="73677C96" w14:textId="77777777">
        <w:trPr>
          <w:jc w:val="center"/>
        </w:trPr>
        <w:tc>
          <w:tcPr>
            <w:tcW w:w="1440" w:type="dxa"/>
            <w:vAlign w:val="center"/>
          </w:tcPr>
          <w:p w14:paraId="446A258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2</w:t>
            </w:r>
          </w:p>
        </w:tc>
        <w:tc>
          <w:tcPr>
            <w:tcW w:w="8352" w:type="dxa"/>
            <w:vAlign w:val="center"/>
          </w:tcPr>
          <w:p w14:paraId="372DCEE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Caring friendships; conflict and repair; kindness and respect; privacy; safe and unsafe contact; online safety; feelings and wellbeing; hygiene, food, exercise and safety.</w:t>
            </w:r>
          </w:p>
        </w:tc>
      </w:tr>
      <w:tr w:rsidR="00D36548" w:rsidRPr="00D4383F" w14:paraId="0829FEFE" w14:textId="77777777">
        <w:trPr>
          <w:jc w:val="center"/>
        </w:trPr>
        <w:tc>
          <w:tcPr>
            <w:tcW w:w="1440" w:type="dxa"/>
            <w:vAlign w:val="center"/>
          </w:tcPr>
          <w:p w14:paraId="64236C5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3</w:t>
            </w:r>
          </w:p>
        </w:tc>
        <w:tc>
          <w:tcPr>
            <w:tcW w:w="8352" w:type="dxa"/>
            <w:vAlign w:val="center"/>
          </w:tcPr>
          <w:p w14:paraId="3DFF59E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Respectful relationships; </w:t>
            </w:r>
            <w:r w:rsidRPr="00D4383F">
              <w:rPr>
                <w:rFonts w:asciiTheme="majorHAnsi" w:hAnsiTheme="majorHAnsi" w:cstheme="majorHAnsi"/>
                <w:sz w:val="24"/>
                <w:szCs w:val="24"/>
              </w:rPr>
              <w:t>stereotypes and bullying; assertiveness; seeking help; online risks; emotional wellbeing; physical activity; healthy eating; personal safety and first aid.</w:t>
            </w:r>
          </w:p>
        </w:tc>
      </w:tr>
      <w:tr w:rsidR="00D36548" w:rsidRPr="00D4383F" w14:paraId="622B3818" w14:textId="77777777">
        <w:trPr>
          <w:jc w:val="center"/>
        </w:trPr>
        <w:tc>
          <w:tcPr>
            <w:tcW w:w="1440" w:type="dxa"/>
            <w:vAlign w:val="center"/>
          </w:tcPr>
          <w:p w14:paraId="4E280F9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4</w:t>
            </w:r>
          </w:p>
        </w:tc>
        <w:tc>
          <w:tcPr>
            <w:tcW w:w="8352" w:type="dxa"/>
            <w:vAlign w:val="center"/>
          </w:tcPr>
          <w:p w14:paraId="71EB125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Boundaries and relationships; recognising harmful behaviour; online relationships and information; loneliness and change; mental wellbeing; health protection; water/road/rail safety; first aid.</w:t>
            </w:r>
          </w:p>
        </w:tc>
      </w:tr>
      <w:tr w:rsidR="00D36548" w:rsidRPr="00D4383F" w14:paraId="7D84C858" w14:textId="77777777">
        <w:trPr>
          <w:jc w:val="center"/>
        </w:trPr>
        <w:tc>
          <w:tcPr>
            <w:tcW w:w="1440" w:type="dxa"/>
            <w:vAlign w:val="center"/>
          </w:tcPr>
          <w:p w14:paraId="2F13DC3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5</w:t>
            </w:r>
          </w:p>
        </w:tc>
        <w:tc>
          <w:tcPr>
            <w:tcW w:w="8352" w:type="dxa"/>
            <w:vAlign w:val="center"/>
          </w:tcPr>
          <w:p w14:paraId="27F5031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Puberty and developing bodies; menstruation; body privacy; respectful relationships; online risks; wellbeing; substances; healthy lifestyles; personal safety; age-appropriate Sex Education as set out in Appendix 2.</w:t>
            </w:r>
          </w:p>
        </w:tc>
      </w:tr>
      <w:tr w:rsidR="00D36548" w:rsidRPr="00D4383F" w14:paraId="35E72D50" w14:textId="77777777">
        <w:trPr>
          <w:jc w:val="center"/>
        </w:trPr>
        <w:tc>
          <w:tcPr>
            <w:tcW w:w="1440" w:type="dxa"/>
            <w:vAlign w:val="center"/>
          </w:tcPr>
          <w:p w14:paraId="6A06D83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Year 6</w:t>
            </w:r>
          </w:p>
        </w:tc>
        <w:tc>
          <w:tcPr>
            <w:tcW w:w="8352" w:type="dxa"/>
            <w:vAlign w:val="center"/>
          </w:tcPr>
          <w:p w14:paraId="23A2C18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Preparing for secondary school; relationships and boundaries; consent in age-appropriate contexts; online safety; seeking help; wellbeing and resilience; puberty/reproduction consolidation; health protection and first aid; age-appropriate Sex Education as set out in Appendix 2.</w:t>
            </w:r>
          </w:p>
        </w:tc>
      </w:tr>
    </w:tbl>
    <w:p w14:paraId="00C224AB" w14:textId="77777777" w:rsidR="00D36548" w:rsidRPr="00D4383F" w:rsidRDefault="00D4383F">
      <w:pPr>
        <w:pStyle w:val="Heading1"/>
        <w:rPr>
          <w:rFonts w:cstheme="majorHAnsi"/>
          <w:sz w:val="24"/>
          <w:szCs w:val="24"/>
        </w:rPr>
      </w:pPr>
      <w:r w:rsidRPr="00D4383F">
        <w:rPr>
          <w:rFonts w:cstheme="majorHAnsi"/>
          <w:sz w:val="24"/>
          <w:szCs w:val="24"/>
        </w:rPr>
        <w:t>Appendix 2 – Sex education content and withdrawal arrangements</w:t>
      </w:r>
    </w:p>
    <w:p w14:paraId="330555F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School decision for 2026–2027: Maylandsea Primary School provides a limited, age-appropriate Sex Education programme in Years 5 and 6. This is additional to the statutory Relationships Education and Health Education curriculum and does not replace the statutory science curriculum.</w:t>
      </w:r>
    </w:p>
    <w:tbl>
      <w:tblPr>
        <w:tblStyle w:val="TableGrid"/>
        <w:tblW w:w="0" w:type="auto"/>
        <w:jc w:val="center"/>
        <w:tblLook w:val="04A0" w:firstRow="1" w:lastRow="0" w:firstColumn="1" w:lastColumn="0" w:noHBand="0" w:noVBand="1"/>
      </w:tblPr>
      <w:tblGrid>
        <w:gridCol w:w="4608"/>
        <w:gridCol w:w="1440"/>
        <w:gridCol w:w="2592"/>
      </w:tblGrid>
      <w:tr w:rsidR="00D36548" w:rsidRPr="00D4383F" w14:paraId="15A0AC20" w14:textId="77777777">
        <w:trPr>
          <w:jc w:val="center"/>
        </w:trPr>
        <w:tc>
          <w:tcPr>
            <w:tcW w:w="4608" w:type="dxa"/>
            <w:shd w:val="clear" w:color="auto" w:fill="1F4E79"/>
            <w:vAlign w:val="center"/>
          </w:tcPr>
          <w:p w14:paraId="6EC0A8A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Content</w:t>
            </w:r>
          </w:p>
        </w:tc>
        <w:tc>
          <w:tcPr>
            <w:tcW w:w="1440" w:type="dxa"/>
            <w:shd w:val="clear" w:color="auto" w:fill="1F4E79"/>
            <w:vAlign w:val="center"/>
          </w:tcPr>
          <w:p w14:paraId="7012B03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Year(s)</w:t>
            </w:r>
          </w:p>
        </w:tc>
        <w:tc>
          <w:tcPr>
            <w:tcW w:w="2592" w:type="dxa"/>
            <w:shd w:val="clear" w:color="auto" w:fill="1F4E79"/>
            <w:vAlign w:val="center"/>
          </w:tcPr>
          <w:p w14:paraId="17FE662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Withdrawal?</w:t>
            </w:r>
          </w:p>
        </w:tc>
      </w:tr>
      <w:tr w:rsidR="00D36548" w:rsidRPr="00D4383F" w14:paraId="398941D7" w14:textId="77777777">
        <w:trPr>
          <w:jc w:val="center"/>
        </w:trPr>
        <w:tc>
          <w:tcPr>
            <w:tcW w:w="4608" w:type="dxa"/>
            <w:vAlign w:val="center"/>
          </w:tcPr>
          <w:p w14:paraId="4FF7FA9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Puberty and </w:t>
            </w:r>
            <w:r w:rsidRPr="00D4383F">
              <w:rPr>
                <w:rFonts w:asciiTheme="majorHAnsi" w:hAnsiTheme="majorHAnsi" w:cstheme="majorHAnsi"/>
                <w:sz w:val="24"/>
                <w:szCs w:val="24"/>
              </w:rPr>
              <w:t>physical/emotional changes</w:t>
            </w:r>
          </w:p>
        </w:tc>
        <w:tc>
          <w:tcPr>
            <w:tcW w:w="1440" w:type="dxa"/>
            <w:vAlign w:val="center"/>
          </w:tcPr>
          <w:p w14:paraId="7754C70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5–6</w:t>
            </w:r>
          </w:p>
        </w:tc>
        <w:tc>
          <w:tcPr>
            <w:tcW w:w="2592" w:type="dxa"/>
            <w:vAlign w:val="center"/>
          </w:tcPr>
          <w:p w14:paraId="0A64010F"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No – </w:t>
            </w:r>
            <w:proofErr w:type="gramStart"/>
            <w:r w:rsidRPr="00D4383F">
              <w:rPr>
                <w:rFonts w:asciiTheme="majorHAnsi" w:hAnsiTheme="majorHAnsi" w:cstheme="majorHAnsi"/>
                <w:sz w:val="24"/>
                <w:szCs w:val="24"/>
              </w:rPr>
              <w:t>where</w:t>
            </w:r>
            <w:proofErr w:type="gramEnd"/>
            <w:r w:rsidRPr="00D4383F">
              <w:rPr>
                <w:rFonts w:asciiTheme="majorHAnsi" w:hAnsiTheme="majorHAnsi" w:cstheme="majorHAnsi"/>
                <w:sz w:val="24"/>
                <w:szCs w:val="24"/>
              </w:rPr>
              <w:t xml:space="preserve"> part of Health Education.</w:t>
            </w:r>
          </w:p>
        </w:tc>
      </w:tr>
      <w:tr w:rsidR="00D36548" w:rsidRPr="00D4383F" w14:paraId="2698C0D1" w14:textId="77777777">
        <w:trPr>
          <w:jc w:val="center"/>
        </w:trPr>
        <w:tc>
          <w:tcPr>
            <w:tcW w:w="4608" w:type="dxa"/>
            <w:vAlign w:val="center"/>
          </w:tcPr>
          <w:p w14:paraId="61AFA11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Menstruation and menstrual wellbeing</w:t>
            </w:r>
          </w:p>
        </w:tc>
        <w:tc>
          <w:tcPr>
            <w:tcW w:w="1440" w:type="dxa"/>
            <w:vAlign w:val="center"/>
          </w:tcPr>
          <w:p w14:paraId="29C3838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5–6</w:t>
            </w:r>
          </w:p>
        </w:tc>
        <w:tc>
          <w:tcPr>
            <w:tcW w:w="2592" w:type="dxa"/>
            <w:vAlign w:val="center"/>
          </w:tcPr>
          <w:p w14:paraId="4C990D1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No – </w:t>
            </w:r>
            <w:proofErr w:type="gramStart"/>
            <w:r w:rsidRPr="00D4383F">
              <w:rPr>
                <w:rFonts w:asciiTheme="majorHAnsi" w:hAnsiTheme="majorHAnsi" w:cstheme="majorHAnsi"/>
                <w:sz w:val="24"/>
                <w:szCs w:val="24"/>
              </w:rPr>
              <w:t>where</w:t>
            </w:r>
            <w:proofErr w:type="gramEnd"/>
            <w:r w:rsidRPr="00D4383F">
              <w:rPr>
                <w:rFonts w:asciiTheme="majorHAnsi" w:hAnsiTheme="majorHAnsi" w:cstheme="majorHAnsi"/>
                <w:sz w:val="24"/>
                <w:szCs w:val="24"/>
              </w:rPr>
              <w:t xml:space="preserve"> part of Health Education.</w:t>
            </w:r>
          </w:p>
        </w:tc>
      </w:tr>
      <w:tr w:rsidR="00D36548" w:rsidRPr="00D4383F" w14:paraId="11023E7D" w14:textId="77777777">
        <w:trPr>
          <w:jc w:val="center"/>
        </w:trPr>
        <w:tc>
          <w:tcPr>
            <w:tcW w:w="4608" w:type="dxa"/>
            <w:vAlign w:val="center"/>
          </w:tcPr>
          <w:p w14:paraId="4D29DD0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Correct names for body parts and privacy</w:t>
            </w:r>
          </w:p>
        </w:tc>
        <w:tc>
          <w:tcPr>
            <w:tcW w:w="1440" w:type="dxa"/>
            <w:vAlign w:val="center"/>
          </w:tcPr>
          <w:p w14:paraId="5A10495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EYFS–6, age/stage appropriate</w:t>
            </w:r>
          </w:p>
        </w:tc>
        <w:tc>
          <w:tcPr>
            <w:tcW w:w="2592" w:type="dxa"/>
            <w:vAlign w:val="center"/>
          </w:tcPr>
          <w:p w14:paraId="3DDAE14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No – statutory Health/Relationships Education.</w:t>
            </w:r>
          </w:p>
        </w:tc>
      </w:tr>
      <w:tr w:rsidR="00D36548" w:rsidRPr="00D4383F" w14:paraId="2111EEA3" w14:textId="77777777">
        <w:trPr>
          <w:jc w:val="center"/>
        </w:trPr>
        <w:tc>
          <w:tcPr>
            <w:tcW w:w="4608" w:type="dxa"/>
            <w:vAlign w:val="center"/>
          </w:tcPr>
          <w:p w14:paraId="1E23EA0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Human reproduction/conception taught as science</w:t>
            </w:r>
          </w:p>
        </w:tc>
        <w:tc>
          <w:tcPr>
            <w:tcW w:w="1440" w:type="dxa"/>
            <w:vAlign w:val="center"/>
          </w:tcPr>
          <w:p w14:paraId="62D5ACE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5–6</w:t>
            </w:r>
          </w:p>
        </w:tc>
        <w:tc>
          <w:tcPr>
            <w:tcW w:w="2592" w:type="dxa"/>
            <w:vAlign w:val="center"/>
          </w:tcPr>
          <w:p w14:paraId="3A566FF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No – statutory science.</w:t>
            </w:r>
          </w:p>
        </w:tc>
      </w:tr>
      <w:tr w:rsidR="00D36548" w:rsidRPr="00D4383F" w14:paraId="34145F2E" w14:textId="77777777">
        <w:trPr>
          <w:jc w:val="center"/>
        </w:trPr>
        <w:tc>
          <w:tcPr>
            <w:tcW w:w="4608" w:type="dxa"/>
            <w:vAlign w:val="center"/>
          </w:tcPr>
          <w:p w14:paraId="47FC948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Additional age-appropriate Sex Education beyond science</w:t>
            </w:r>
          </w:p>
        </w:tc>
        <w:tc>
          <w:tcPr>
            <w:tcW w:w="1440" w:type="dxa"/>
            <w:vAlign w:val="center"/>
          </w:tcPr>
          <w:p w14:paraId="3FDA79B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5–6</w:t>
            </w:r>
          </w:p>
        </w:tc>
        <w:tc>
          <w:tcPr>
            <w:tcW w:w="2592" w:type="dxa"/>
            <w:vAlign w:val="center"/>
          </w:tcPr>
          <w:p w14:paraId="3B7C8C0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Yes – parent/carer may request withdrawal.</w:t>
            </w:r>
          </w:p>
        </w:tc>
      </w:tr>
      <w:tr w:rsidR="00D36548" w:rsidRPr="00D4383F" w14:paraId="64E29227" w14:textId="77777777">
        <w:trPr>
          <w:jc w:val="center"/>
        </w:trPr>
        <w:tc>
          <w:tcPr>
            <w:tcW w:w="4608" w:type="dxa"/>
            <w:vAlign w:val="center"/>
          </w:tcPr>
          <w:p w14:paraId="0C94268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Relationships, boundaries, safety and online safety</w:t>
            </w:r>
          </w:p>
        </w:tc>
        <w:tc>
          <w:tcPr>
            <w:tcW w:w="1440" w:type="dxa"/>
            <w:vAlign w:val="center"/>
          </w:tcPr>
          <w:p w14:paraId="2A95DE9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EYFS–6</w:t>
            </w:r>
          </w:p>
        </w:tc>
        <w:tc>
          <w:tcPr>
            <w:tcW w:w="2592" w:type="dxa"/>
            <w:vAlign w:val="center"/>
          </w:tcPr>
          <w:p w14:paraId="5288CB0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No –</w:t>
            </w:r>
            <w:r w:rsidRPr="00D4383F">
              <w:rPr>
                <w:rFonts w:asciiTheme="majorHAnsi" w:hAnsiTheme="majorHAnsi" w:cstheme="majorHAnsi"/>
                <w:sz w:val="24"/>
                <w:szCs w:val="24"/>
              </w:rPr>
              <w:t xml:space="preserve"> statutory Relationships/Health Education.</w:t>
            </w:r>
          </w:p>
        </w:tc>
      </w:tr>
    </w:tbl>
    <w:p w14:paraId="630DD99A" w14:textId="77777777" w:rsidR="00D36548" w:rsidRPr="00D4383F" w:rsidRDefault="00D4383F">
      <w:pPr>
        <w:pStyle w:val="Heading2"/>
        <w:rPr>
          <w:rFonts w:cstheme="majorHAnsi"/>
          <w:sz w:val="24"/>
          <w:szCs w:val="24"/>
        </w:rPr>
      </w:pPr>
      <w:r w:rsidRPr="00D4383F">
        <w:rPr>
          <w:rFonts w:cstheme="majorHAnsi"/>
          <w:sz w:val="24"/>
          <w:szCs w:val="24"/>
        </w:rPr>
        <w:t>Withdrawal process</w:t>
      </w:r>
    </w:p>
    <w:p w14:paraId="2561D751" w14:textId="77777777" w:rsidR="00D36548" w:rsidRPr="00D4383F" w:rsidRDefault="00D4383F">
      <w:pPr>
        <w:pStyle w:val="ListNumber"/>
        <w:spacing w:after="40"/>
        <w:rPr>
          <w:rFonts w:asciiTheme="majorHAnsi" w:hAnsiTheme="majorHAnsi" w:cstheme="majorHAnsi"/>
          <w:sz w:val="24"/>
          <w:szCs w:val="24"/>
        </w:rPr>
      </w:pPr>
      <w:r w:rsidRPr="00D4383F">
        <w:rPr>
          <w:rFonts w:asciiTheme="majorHAnsi" w:hAnsiTheme="majorHAnsi" w:cstheme="majorHAnsi"/>
          <w:sz w:val="24"/>
          <w:szCs w:val="24"/>
        </w:rPr>
        <w:t>Parent/carer submits a request to the headteacher.</w:t>
      </w:r>
    </w:p>
    <w:p w14:paraId="358E0742" w14:textId="77777777" w:rsidR="00D36548" w:rsidRPr="00D4383F" w:rsidRDefault="00D4383F">
      <w:pPr>
        <w:pStyle w:val="ListNumber"/>
        <w:spacing w:after="40"/>
        <w:rPr>
          <w:rFonts w:asciiTheme="majorHAnsi" w:hAnsiTheme="majorHAnsi" w:cstheme="majorHAnsi"/>
          <w:sz w:val="24"/>
          <w:szCs w:val="24"/>
        </w:rPr>
      </w:pPr>
      <w:r w:rsidRPr="00D4383F">
        <w:rPr>
          <w:rFonts w:asciiTheme="majorHAnsi" w:hAnsiTheme="majorHAnsi" w:cstheme="majorHAnsi"/>
          <w:sz w:val="24"/>
          <w:szCs w:val="24"/>
        </w:rPr>
        <w:t>The headteacher discusses the nature and purpose of the content with the parent/carer and, where appropriate, the pupil.</w:t>
      </w:r>
    </w:p>
    <w:p w14:paraId="24B937BC" w14:textId="77777777" w:rsidR="00D36548" w:rsidRPr="00D4383F" w:rsidRDefault="00D4383F">
      <w:pPr>
        <w:pStyle w:val="ListNumber"/>
        <w:spacing w:after="40"/>
        <w:rPr>
          <w:rFonts w:asciiTheme="majorHAnsi" w:hAnsiTheme="majorHAnsi" w:cstheme="majorHAnsi"/>
          <w:sz w:val="24"/>
          <w:szCs w:val="24"/>
        </w:rPr>
      </w:pPr>
      <w:r w:rsidRPr="00D4383F">
        <w:rPr>
          <w:rFonts w:asciiTheme="majorHAnsi" w:hAnsiTheme="majorHAnsi" w:cstheme="majorHAnsi"/>
          <w:sz w:val="24"/>
          <w:szCs w:val="24"/>
        </w:rPr>
        <w:t>The school explains the distinction between Sex Education, Relationships Education, Health Education and science.</w:t>
      </w:r>
    </w:p>
    <w:p w14:paraId="709BE915" w14:textId="77777777" w:rsidR="00D36548" w:rsidRPr="00D4383F" w:rsidRDefault="00D4383F">
      <w:pPr>
        <w:pStyle w:val="ListNumber"/>
        <w:spacing w:after="40"/>
        <w:rPr>
          <w:rFonts w:asciiTheme="majorHAnsi" w:hAnsiTheme="majorHAnsi" w:cstheme="majorHAnsi"/>
          <w:sz w:val="24"/>
          <w:szCs w:val="24"/>
        </w:rPr>
      </w:pPr>
      <w:r w:rsidRPr="00D4383F">
        <w:rPr>
          <w:rFonts w:asciiTheme="majorHAnsi" w:hAnsiTheme="majorHAnsi" w:cstheme="majorHAnsi"/>
          <w:sz w:val="24"/>
          <w:szCs w:val="24"/>
        </w:rPr>
        <w:t>The request and outcome are recorded.</w:t>
      </w:r>
    </w:p>
    <w:p w14:paraId="2849B6E7" w14:textId="77777777" w:rsidR="00D36548" w:rsidRPr="00D4383F" w:rsidRDefault="00D4383F">
      <w:pPr>
        <w:pStyle w:val="ListNumber"/>
        <w:spacing w:after="40"/>
        <w:rPr>
          <w:rFonts w:asciiTheme="majorHAnsi" w:hAnsiTheme="majorHAnsi" w:cstheme="majorHAnsi"/>
          <w:sz w:val="24"/>
          <w:szCs w:val="24"/>
        </w:rPr>
      </w:pPr>
      <w:r w:rsidRPr="00D4383F">
        <w:rPr>
          <w:rFonts w:asciiTheme="majorHAnsi" w:hAnsiTheme="majorHAnsi" w:cstheme="majorHAnsi"/>
          <w:sz w:val="24"/>
          <w:szCs w:val="24"/>
        </w:rPr>
        <w:t>Where withdrawal applies, the pupil receives appropriate and purposeful education and continues to access statutory Relationships Education, Health Education and science.</w:t>
      </w:r>
    </w:p>
    <w:p w14:paraId="2EFA8187" w14:textId="77777777" w:rsidR="00D36548" w:rsidRPr="00D4383F" w:rsidRDefault="00D4383F">
      <w:pPr>
        <w:pStyle w:val="Heading1"/>
        <w:rPr>
          <w:rFonts w:cstheme="majorHAnsi"/>
          <w:sz w:val="24"/>
          <w:szCs w:val="24"/>
        </w:rPr>
      </w:pPr>
      <w:r w:rsidRPr="00D4383F">
        <w:rPr>
          <w:rFonts w:cstheme="majorHAnsi"/>
          <w:sz w:val="24"/>
          <w:szCs w:val="24"/>
        </w:rPr>
        <w:t>Appendix 3 – Suggested ground rules and safe teaching approaches</w:t>
      </w:r>
    </w:p>
    <w:p w14:paraId="5B47E811" w14:textId="77777777" w:rsidR="00D36548" w:rsidRPr="00D4383F" w:rsidRDefault="00D4383F">
      <w:pPr>
        <w:pStyle w:val="Heading2"/>
        <w:rPr>
          <w:rFonts w:cstheme="majorHAnsi"/>
          <w:sz w:val="24"/>
          <w:szCs w:val="24"/>
        </w:rPr>
      </w:pPr>
      <w:r w:rsidRPr="00D4383F">
        <w:rPr>
          <w:rFonts w:cstheme="majorHAnsi"/>
          <w:sz w:val="24"/>
          <w:szCs w:val="24"/>
        </w:rPr>
        <w:t>Ground rules</w:t>
      </w:r>
    </w:p>
    <w:p w14:paraId="709EADB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We use respectful language.</w:t>
      </w:r>
    </w:p>
    <w:p w14:paraId="127B21A5"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We listen to others without laughing at or embarrassing them.</w:t>
      </w:r>
    </w:p>
    <w:p w14:paraId="18C67A9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We do not ask people to share </w:t>
      </w:r>
      <w:r w:rsidRPr="00D4383F">
        <w:rPr>
          <w:rFonts w:asciiTheme="majorHAnsi" w:hAnsiTheme="majorHAnsi" w:cstheme="majorHAnsi"/>
          <w:sz w:val="24"/>
          <w:szCs w:val="24"/>
        </w:rPr>
        <w:t>private experiences.</w:t>
      </w:r>
    </w:p>
    <w:p w14:paraId="115A409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We can ask questions anonymously where appropriate.</w:t>
      </w:r>
    </w:p>
    <w:p w14:paraId="4E6D7245"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We can say that we are unsure or need more information.</w:t>
      </w:r>
    </w:p>
    <w:p w14:paraId="57C5937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We do not repeat personal information shared in the lesson.</w:t>
      </w:r>
    </w:p>
    <w:p w14:paraId="51B7F4C1"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 xml:space="preserve">If something makes us worried or unsafe, we tell a trusted </w:t>
      </w:r>
      <w:r w:rsidRPr="00D4383F">
        <w:rPr>
          <w:rFonts w:asciiTheme="majorHAnsi" w:hAnsiTheme="majorHAnsi" w:cstheme="majorHAnsi"/>
          <w:sz w:val="24"/>
          <w:szCs w:val="24"/>
        </w:rPr>
        <w:t>adult.</w:t>
      </w:r>
    </w:p>
    <w:p w14:paraId="193581DB" w14:textId="77777777" w:rsidR="00D36548" w:rsidRPr="00D4383F" w:rsidRDefault="00D4383F">
      <w:pPr>
        <w:pStyle w:val="Heading2"/>
        <w:rPr>
          <w:rFonts w:cstheme="majorHAnsi"/>
          <w:sz w:val="24"/>
          <w:szCs w:val="24"/>
        </w:rPr>
      </w:pPr>
      <w:r w:rsidRPr="00D4383F">
        <w:rPr>
          <w:rFonts w:cstheme="majorHAnsi"/>
          <w:sz w:val="24"/>
          <w:szCs w:val="24"/>
        </w:rPr>
        <w:t>Teaching approaches</w:t>
      </w:r>
    </w:p>
    <w:p w14:paraId="34C37E0F"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distancing and fictional scenarios;</w:t>
      </w:r>
    </w:p>
    <w:p w14:paraId="4AC7D493"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story-based discussion;</w:t>
      </w:r>
    </w:p>
    <w:p w14:paraId="6F32DE0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role play and rehearsal of communication skills;</w:t>
      </w:r>
    </w:p>
    <w:p w14:paraId="0D7D599D"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visuals, symbols and structured prompts;</w:t>
      </w:r>
    </w:p>
    <w:p w14:paraId="1CE39B34"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question boxes;</w:t>
      </w:r>
    </w:p>
    <w:p w14:paraId="62C5D216"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paired and small-group discussion;</w:t>
      </w:r>
    </w:p>
    <w:p w14:paraId="5A1978AC"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retrieval and recap;</w:t>
      </w:r>
    </w:p>
    <w:p w14:paraId="1E3740CB" w14:textId="77777777" w:rsidR="00D36548" w:rsidRPr="00D4383F" w:rsidRDefault="00D4383F">
      <w:pPr>
        <w:pStyle w:val="ListBullet"/>
        <w:spacing w:after="40"/>
        <w:rPr>
          <w:rFonts w:asciiTheme="majorHAnsi" w:hAnsiTheme="majorHAnsi" w:cstheme="majorHAnsi"/>
          <w:sz w:val="24"/>
          <w:szCs w:val="24"/>
        </w:rPr>
      </w:pPr>
      <w:r w:rsidRPr="00D4383F">
        <w:rPr>
          <w:rFonts w:asciiTheme="majorHAnsi" w:hAnsiTheme="majorHAnsi" w:cstheme="majorHAnsi"/>
          <w:sz w:val="24"/>
          <w:szCs w:val="24"/>
        </w:rPr>
        <w:t>clear signposting to trusted adults and support.</w:t>
      </w:r>
    </w:p>
    <w:p w14:paraId="48BD6B36" w14:textId="77777777" w:rsidR="00D36548" w:rsidRPr="00D4383F" w:rsidRDefault="00D4383F">
      <w:pPr>
        <w:pStyle w:val="Heading1"/>
        <w:rPr>
          <w:rFonts w:cstheme="majorHAnsi"/>
          <w:sz w:val="24"/>
          <w:szCs w:val="24"/>
        </w:rPr>
      </w:pPr>
      <w:r w:rsidRPr="00D4383F">
        <w:rPr>
          <w:rFonts w:cstheme="majorHAnsi"/>
          <w:sz w:val="24"/>
          <w:szCs w:val="24"/>
        </w:rPr>
        <w:t>Appendix 4 – Monitoring and evaluation checklist</w:t>
      </w:r>
    </w:p>
    <w:tbl>
      <w:tblPr>
        <w:tblStyle w:val="TableGrid"/>
        <w:tblW w:w="0" w:type="auto"/>
        <w:jc w:val="center"/>
        <w:tblLook w:val="04A0" w:firstRow="1" w:lastRow="0" w:firstColumn="1" w:lastColumn="0" w:noHBand="0" w:noVBand="1"/>
      </w:tblPr>
      <w:tblGrid>
        <w:gridCol w:w="2160"/>
        <w:gridCol w:w="5328"/>
        <w:gridCol w:w="2304"/>
      </w:tblGrid>
      <w:tr w:rsidR="00D36548" w:rsidRPr="00D4383F" w14:paraId="34659646" w14:textId="77777777">
        <w:trPr>
          <w:jc w:val="center"/>
        </w:trPr>
        <w:tc>
          <w:tcPr>
            <w:tcW w:w="2160" w:type="dxa"/>
            <w:shd w:val="clear" w:color="auto" w:fill="1F4E79"/>
            <w:vAlign w:val="center"/>
          </w:tcPr>
          <w:p w14:paraId="25C6CAB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Review area</w:t>
            </w:r>
          </w:p>
        </w:tc>
        <w:tc>
          <w:tcPr>
            <w:tcW w:w="5328" w:type="dxa"/>
            <w:shd w:val="clear" w:color="auto" w:fill="1F4E79"/>
            <w:vAlign w:val="center"/>
          </w:tcPr>
          <w:p w14:paraId="565A9422"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Evidence / questions</w:t>
            </w:r>
          </w:p>
        </w:tc>
        <w:tc>
          <w:tcPr>
            <w:tcW w:w="2304" w:type="dxa"/>
            <w:shd w:val="clear" w:color="auto" w:fill="1F4E79"/>
            <w:vAlign w:val="center"/>
          </w:tcPr>
          <w:p w14:paraId="6BF1C02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b/>
                <w:color w:val="FFFFFF"/>
                <w:sz w:val="24"/>
                <w:szCs w:val="24"/>
              </w:rPr>
              <w:t>Action / evaluation</w:t>
            </w:r>
          </w:p>
        </w:tc>
      </w:tr>
      <w:tr w:rsidR="00D36548" w:rsidRPr="00D4383F" w14:paraId="34A8AF34" w14:textId="77777777">
        <w:trPr>
          <w:jc w:val="center"/>
        </w:trPr>
        <w:tc>
          <w:tcPr>
            <w:tcW w:w="2160" w:type="dxa"/>
            <w:vAlign w:val="center"/>
          </w:tcPr>
          <w:p w14:paraId="3842C9E1"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Curriculum coverage</w:t>
            </w:r>
          </w:p>
        </w:tc>
        <w:tc>
          <w:tcPr>
            <w:tcW w:w="5328" w:type="dxa"/>
            <w:vAlign w:val="center"/>
          </w:tcPr>
          <w:p w14:paraId="75479D6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Are all statutory primary topics covered by the end of Year 6?</w:t>
            </w:r>
          </w:p>
        </w:tc>
        <w:tc>
          <w:tcPr>
            <w:tcW w:w="2304" w:type="dxa"/>
            <w:vAlign w:val="center"/>
          </w:tcPr>
          <w:p w14:paraId="576E11AB" w14:textId="77777777" w:rsidR="00D36548" w:rsidRPr="00D4383F" w:rsidRDefault="00D36548">
            <w:pPr>
              <w:rPr>
                <w:rFonts w:asciiTheme="majorHAnsi" w:hAnsiTheme="majorHAnsi" w:cstheme="majorHAnsi"/>
                <w:sz w:val="24"/>
                <w:szCs w:val="24"/>
              </w:rPr>
            </w:pPr>
          </w:p>
        </w:tc>
      </w:tr>
      <w:tr w:rsidR="00D36548" w:rsidRPr="00D4383F" w14:paraId="3C0E2246" w14:textId="77777777">
        <w:trPr>
          <w:jc w:val="center"/>
        </w:trPr>
        <w:tc>
          <w:tcPr>
            <w:tcW w:w="2160" w:type="dxa"/>
            <w:vAlign w:val="center"/>
          </w:tcPr>
          <w:p w14:paraId="46562ED0"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Progression</w:t>
            </w:r>
          </w:p>
        </w:tc>
        <w:tc>
          <w:tcPr>
            <w:tcW w:w="5328" w:type="dxa"/>
            <w:vAlign w:val="center"/>
          </w:tcPr>
          <w:p w14:paraId="734EC1F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Does </w:t>
            </w:r>
            <w:r w:rsidRPr="00D4383F">
              <w:rPr>
                <w:rFonts w:asciiTheme="majorHAnsi" w:hAnsiTheme="majorHAnsi" w:cstheme="majorHAnsi"/>
                <w:sz w:val="24"/>
                <w:szCs w:val="24"/>
              </w:rPr>
              <w:t>learning build logically from EYFS to Year 6?</w:t>
            </w:r>
          </w:p>
        </w:tc>
        <w:tc>
          <w:tcPr>
            <w:tcW w:w="2304" w:type="dxa"/>
            <w:vAlign w:val="center"/>
          </w:tcPr>
          <w:p w14:paraId="2F7524B6" w14:textId="77777777" w:rsidR="00D36548" w:rsidRPr="00D4383F" w:rsidRDefault="00D36548">
            <w:pPr>
              <w:rPr>
                <w:rFonts w:asciiTheme="majorHAnsi" w:hAnsiTheme="majorHAnsi" w:cstheme="majorHAnsi"/>
                <w:sz w:val="24"/>
                <w:szCs w:val="24"/>
              </w:rPr>
            </w:pPr>
          </w:p>
        </w:tc>
      </w:tr>
      <w:tr w:rsidR="00D36548" w:rsidRPr="00D4383F" w14:paraId="33ADC1A3" w14:textId="77777777">
        <w:trPr>
          <w:jc w:val="center"/>
        </w:trPr>
        <w:tc>
          <w:tcPr>
            <w:tcW w:w="2160" w:type="dxa"/>
            <w:vAlign w:val="center"/>
          </w:tcPr>
          <w:p w14:paraId="0545AE33"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Inclusion</w:t>
            </w:r>
          </w:p>
        </w:tc>
        <w:tc>
          <w:tcPr>
            <w:tcW w:w="5328" w:type="dxa"/>
            <w:vAlign w:val="center"/>
          </w:tcPr>
          <w:p w14:paraId="5D389B0A"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Can pupils with SEND access and understand the learning?</w:t>
            </w:r>
          </w:p>
        </w:tc>
        <w:tc>
          <w:tcPr>
            <w:tcW w:w="2304" w:type="dxa"/>
            <w:vAlign w:val="center"/>
          </w:tcPr>
          <w:p w14:paraId="5FA0B788" w14:textId="77777777" w:rsidR="00D36548" w:rsidRPr="00D4383F" w:rsidRDefault="00D36548">
            <w:pPr>
              <w:rPr>
                <w:rFonts w:asciiTheme="majorHAnsi" w:hAnsiTheme="majorHAnsi" w:cstheme="majorHAnsi"/>
                <w:sz w:val="24"/>
                <w:szCs w:val="24"/>
              </w:rPr>
            </w:pPr>
          </w:p>
        </w:tc>
      </w:tr>
      <w:tr w:rsidR="00D36548" w:rsidRPr="00D4383F" w14:paraId="74595137" w14:textId="77777777">
        <w:trPr>
          <w:jc w:val="center"/>
        </w:trPr>
        <w:tc>
          <w:tcPr>
            <w:tcW w:w="2160" w:type="dxa"/>
            <w:vAlign w:val="center"/>
          </w:tcPr>
          <w:p w14:paraId="2BEA4CE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Teaching quality</w:t>
            </w:r>
          </w:p>
        </w:tc>
        <w:tc>
          <w:tcPr>
            <w:tcW w:w="5328" w:type="dxa"/>
            <w:vAlign w:val="center"/>
          </w:tcPr>
          <w:p w14:paraId="569506B8"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Are lessons safe, participative, age appropriate and respectful?</w:t>
            </w:r>
          </w:p>
        </w:tc>
        <w:tc>
          <w:tcPr>
            <w:tcW w:w="2304" w:type="dxa"/>
            <w:vAlign w:val="center"/>
          </w:tcPr>
          <w:p w14:paraId="2E2FA1A7" w14:textId="77777777" w:rsidR="00D36548" w:rsidRPr="00D4383F" w:rsidRDefault="00D36548">
            <w:pPr>
              <w:rPr>
                <w:rFonts w:asciiTheme="majorHAnsi" w:hAnsiTheme="majorHAnsi" w:cstheme="majorHAnsi"/>
                <w:sz w:val="24"/>
                <w:szCs w:val="24"/>
              </w:rPr>
            </w:pPr>
          </w:p>
        </w:tc>
      </w:tr>
      <w:tr w:rsidR="00D36548" w:rsidRPr="00D4383F" w14:paraId="50ABCF19" w14:textId="77777777">
        <w:trPr>
          <w:jc w:val="center"/>
        </w:trPr>
        <w:tc>
          <w:tcPr>
            <w:tcW w:w="2160" w:type="dxa"/>
            <w:vAlign w:val="center"/>
          </w:tcPr>
          <w:p w14:paraId="218DAB1C"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Safeguarding</w:t>
            </w:r>
          </w:p>
        </w:tc>
        <w:tc>
          <w:tcPr>
            <w:tcW w:w="5328" w:type="dxa"/>
            <w:vAlign w:val="center"/>
          </w:tcPr>
          <w:p w14:paraId="52EA1C06"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Do staff understand disclosure and reporting procedures?</w:t>
            </w:r>
          </w:p>
        </w:tc>
        <w:tc>
          <w:tcPr>
            <w:tcW w:w="2304" w:type="dxa"/>
            <w:vAlign w:val="center"/>
          </w:tcPr>
          <w:p w14:paraId="7A41FDA0" w14:textId="77777777" w:rsidR="00D36548" w:rsidRPr="00D4383F" w:rsidRDefault="00D36548">
            <w:pPr>
              <w:rPr>
                <w:rFonts w:asciiTheme="majorHAnsi" w:hAnsiTheme="majorHAnsi" w:cstheme="majorHAnsi"/>
                <w:sz w:val="24"/>
                <w:szCs w:val="24"/>
              </w:rPr>
            </w:pPr>
          </w:p>
        </w:tc>
      </w:tr>
      <w:tr w:rsidR="00D36548" w:rsidRPr="00D4383F" w14:paraId="1F48DCDA" w14:textId="77777777">
        <w:trPr>
          <w:jc w:val="center"/>
        </w:trPr>
        <w:tc>
          <w:tcPr>
            <w:tcW w:w="2160" w:type="dxa"/>
            <w:vAlign w:val="center"/>
          </w:tcPr>
          <w:p w14:paraId="6A34C22E"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Resources</w:t>
            </w:r>
          </w:p>
        </w:tc>
        <w:tc>
          <w:tcPr>
            <w:tcW w:w="5328" w:type="dxa"/>
            <w:vAlign w:val="center"/>
          </w:tcPr>
          <w:p w14:paraId="050A3F39"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Are resources accurate, appropriate, accessible and unbiased?</w:t>
            </w:r>
          </w:p>
        </w:tc>
        <w:tc>
          <w:tcPr>
            <w:tcW w:w="2304" w:type="dxa"/>
            <w:vAlign w:val="center"/>
          </w:tcPr>
          <w:p w14:paraId="75281F62" w14:textId="77777777" w:rsidR="00D36548" w:rsidRPr="00D4383F" w:rsidRDefault="00D36548">
            <w:pPr>
              <w:rPr>
                <w:rFonts w:asciiTheme="majorHAnsi" w:hAnsiTheme="majorHAnsi" w:cstheme="majorHAnsi"/>
                <w:sz w:val="24"/>
                <w:szCs w:val="24"/>
              </w:rPr>
            </w:pPr>
          </w:p>
        </w:tc>
      </w:tr>
      <w:tr w:rsidR="00D36548" w:rsidRPr="00D4383F" w14:paraId="05D58C2C" w14:textId="77777777">
        <w:trPr>
          <w:jc w:val="center"/>
        </w:trPr>
        <w:tc>
          <w:tcPr>
            <w:tcW w:w="2160" w:type="dxa"/>
            <w:vAlign w:val="center"/>
          </w:tcPr>
          <w:p w14:paraId="494D608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Parents/carers</w:t>
            </w:r>
          </w:p>
        </w:tc>
        <w:tc>
          <w:tcPr>
            <w:tcW w:w="5328" w:type="dxa"/>
            <w:vAlign w:val="center"/>
          </w:tcPr>
          <w:p w14:paraId="387DD465"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Can parents see the policy and RSHE materials on request?</w:t>
            </w:r>
          </w:p>
        </w:tc>
        <w:tc>
          <w:tcPr>
            <w:tcW w:w="2304" w:type="dxa"/>
            <w:vAlign w:val="center"/>
          </w:tcPr>
          <w:p w14:paraId="4E49F1FE" w14:textId="77777777" w:rsidR="00D36548" w:rsidRPr="00D4383F" w:rsidRDefault="00D36548">
            <w:pPr>
              <w:rPr>
                <w:rFonts w:asciiTheme="majorHAnsi" w:hAnsiTheme="majorHAnsi" w:cstheme="majorHAnsi"/>
                <w:sz w:val="24"/>
                <w:szCs w:val="24"/>
              </w:rPr>
            </w:pPr>
          </w:p>
        </w:tc>
      </w:tr>
      <w:tr w:rsidR="00D36548" w:rsidRPr="00D4383F" w14:paraId="37395EE1" w14:textId="77777777">
        <w:trPr>
          <w:jc w:val="center"/>
        </w:trPr>
        <w:tc>
          <w:tcPr>
            <w:tcW w:w="2160" w:type="dxa"/>
            <w:vAlign w:val="center"/>
          </w:tcPr>
          <w:p w14:paraId="6C6F20DD"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Pupil voice</w:t>
            </w:r>
          </w:p>
        </w:tc>
        <w:tc>
          <w:tcPr>
            <w:tcW w:w="5328" w:type="dxa"/>
            <w:vAlign w:val="center"/>
          </w:tcPr>
          <w:p w14:paraId="7E4CB6E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Do pupils feel safe, respected and able to ask for help?</w:t>
            </w:r>
          </w:p>
        </w:tc>
        <w:tc>
          <w:tcPr>
            <w:tcW w:w="2304" w:type="dxa"/>
            <w:vAlign w:val="center"/>
          </w:tcPr>
          <w:p w14:paraId="6012404B" w14:textId="77777777" w:rsidR="00D36548" w:rsidRPr="00D4383F" w:rsidRDefault="00D36548">
            <w:pPr>
              <w:rPr>
                <w:rFonts w:asciiTheme="majorHAnsi" w:hAnsiTheme="majorHAnsi" w:cstheme="majorHAnsi"/>
                <w:sz w:val="24"/>
                <w:szCs w:val="24"/>
              </w:rPr>
            </w:pPr>
          </w:p>
        </w:tc>
      </w:tr>
      <w:tr w:rsidR="00D36548" w:rsidRPr="00D4383F" w14:paraId="7745C008" w14:textId="77777777">
        <w:trPr>
          <w:jc w:val="center"/>
        </w:trPr>
        <w:tc>
          <w:tcPr>
            <w:tcW w:w="2160" w:type="dxa"/>
            <w:vAlign w:val="center"/>
          </w:tcPr>
          <w:p w14:paraId="2EF9AB3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Impact</w:t>
            </w:r>
          </w:p>
        </w:tc>
        <w:tc>
          <w:tcPr>
            <w:tcW w:w="5328" w:type="dxa"/>
            <w:vAlign w:val="center"/>
          </w:tcPr>
          <w:p w14:paraId="3B2A2FC7"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 xml:space="preserve">Is </w:t>
            </w:r>
            <w:r w:rsidRPr="00D4383F">
              <w:rPr>
                <w:rFonts w:asciiTheme="majorHAnsi" w:hAnsiTheme="majorHAnsi" w:cstheme="majorHAnsi"/>
                <w:sz w:val="24"/>
                <w:szCs w:val="24"/>
              </w:rPr>
              <w:t>there evidence that pupils know how to keep themselves and others safe and seek help?</w:t>
            </w:r>
          </w:p>
        </w:tc>
        <w:tc>
          <w:tcPr>
            <w:tcW w:w="2304" w:type="dxa"/>
            <w:vAlign w:val="center"/>
          </w:tcPr>
          <w:p w14:paraId="5C77B41E" w14:textId="77777777" w:rsidR="00D36548" w:rsidRPr="00D4383F" w:rsidRDefault="00D36548">
            <w:pPr>
              <w:rPr>
                <w:rFonts w:asciiTheme="majorHAnsi" w:hAnsiTheme="majorHAnsi" w:cstheme="majorHAnsi"/>
                <w:sz w:val="24"/>
                <w:szCs w:val="24"/>
              </w:rPr>
            </w:pPr>
          </w:p>
        </w:tc>
      </w:tr>
      <w:tr w:rsidR="00D36548" w:rsidRPr="00D4383F" w14:paraId="3D85482B" w14:textId="77777777">
        <w:trPr>
          <w:jc w:val="center"/>
        </w:trPr>
        <w:tc>
          <w:tcPr>
            <w:tcW w:w="2160" w:type="dxa"/>
            <w:vAlign w:val="center"/>
          </w:tcPr>
          <w:p w14:paraId="49E4EAA4"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Policy compliance</w:t>
            </w:r>
          </w:p>
        </w:tc>
        <w:tc>
          <w:tcPr>
            <w:tcW w:w="5328" w:type="dxa"/>
            <w:vAlign w:val="center"/>
          </w:tcPr>
          <w:p w14:paraId="6E0A799B" w14:textId="77777777" w:rsidR="00D36548" w:rsidRPr="00D4383F" w:rsidRDefault="00D4383F">
            <w:pPr>
              <w:rPr>
                <w:rFonts w:asciiTheme="majorHAnsi" w:hAnsiTheme="majorHAnsi" w:cstheme="majorHAnsi"/>
                <w:sz w:val="24"/>
                <w:szCs w:val="24"/>
              </w:rPr>
            </w:pPr>
            <w:r w:rsidRPr="00D4383F">
              <w:rPr>
                <w:rFonts w:asciiTheme="majorHAnsi" w:hAnsiTheme="majorHAnsi" w:cstheme="majorHAnsi"/>
                <w:sz w:val="24"/>
                <w:szCs w:val="24"/>
              </w:rPr>
              <w:t>Are withdrawal requests, provider checks and curriculum changes recorded appropriately?</w:t>
            </w:r>
          </w:p>
        </w:tc>
        <w:tc>
          <w:tcPr>
            <w:tcW w:w="2304" w:type="dxa"/>
            <w:vAlign w:val="center"/>
          </w:tcPr>
          <w:p w14:paraId="22E81BF5" w14:textId="77777777" w:rsidR="00D36548" w:rsidRPr="00D4383F" w:rsidRDefault="00D36548">
            <w:pPr>
              <w:rPr>
                <w:rFonts w:asciiTheme="majorHAnsi" w:hAnsiTheme="majorHAnsi" w:cstheme="majorHAnsi"/>
                <w:sz w:val="24"/>
                <w:szCs w:val="24"/>
              </w:rPr>
            </w:pPr>
          </w:p>
        </w:tc>
      </w:tr>
    </w:tbl>
    <w:p w14:paraId="5EC75D98" w14:textId="1CBD5F7B" w:rsidR="00D36548" w:rsidRPr="00D4383F" w:rsidRDefault="00D36548" w:rsidP="00D4383F">
      <w:pPr>
        <w:pStyle w:val="Heading1"/>
        <w:rPr>
          <w:rFonts w:cstheme="majorHAnsi"/>
          <w:sz w:val="24"/>
          <w:szCs w:val="24"/>
        </w:rPr>
      </w:pPr>
    </w:p>
    <w:sectPr w:rsidR="00D36548" w:rsidRPr="00D4383F"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481E1" w14:textId="77777777" w:rsidR="00D4383F" w:rsidRDefault="00D4383F">
      <w:pPr>
        <w:spacing w:after="0" w:line="240" w:lineRule="auto"/>
      </w:pPr>
      <w:r>
        <w:separator/>
      </w:r>
    </w:p>
  </w:endnote>
  <w:endnote w:type="continuationSeparator" w:id="0">
    <w:p w14:paraId="4E67CC42" w14:textId="77777777" w:rsidR="00D4383F" w:rsidRDefault="00D43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295" w14:textId="74F295ED" w:rsidR="00D36548" w:rsidRDefault="00D3654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390E" w14:textId="77777777" w:rsidR="00D4383F" w:rsidRDefault="00D4383F">
      <w:pPr>
        <w:spacing w:after="0" w:line="240" w:lineRule="auto"/>
      </w:pPr>
      <w:r>
        <w:separator/>
      </w:r>
    </w:p>
  </w:footnote>
  <w:footnote w:type="continuationSeparator" w:id="0">
    <w:p w14:paraId="2716B0F0" w14:textId="77777777" w:rsidR="00D4383F" w:rsidRDefault="00D43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1790034">
    <w:abstractNumId w:val="8"/>
  </w:num>
  <w:num w:numId="2" w16cid:durableId="183324660">
    <w:abstractNumId w:val="6"/>
  </w:num>
  <w:num w:numId="3" w16cid:durableId="928078061">
    <w:abstractNumId w:val="5"/>
  </w:num>
  <w:num w:numId="4" w16cid:durableId="1524586324">
    <w:abstractNumId w:val="4"/>
  </w:num>
  <w:num w:numId="5" w16cid:durableId="807665940">
    <w:abstractNumId w:val="7"/>
  </w:num>
  <w:num w:numId="6" w16cid:durableId="587347492">
    <w:abstractNumId w:val="3"/>
  </w:num>
  <w:num w:numId="7" w16cid:durableId="819690108">
    <w:abstractNumId w:val="2"/>
  </w:num>
  <w:num w:numId="8" w16cid:durableId="1378506838">
    <w:abstractNumId w:val="1"/>
  </w:num>
  <w:num w:numId="9" w16cid:durableId="178148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F55E9"/>
    <w:rsid w:val="00CB0664"/>
    <w:rsid w:val="00D36548"/>
    <w:rsid w:val="00D438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52301"/>
  <w14:defaultImageDpi w14:val="300"/>
  <w15:docId w15:val="{43EF83A6-D4AB-4E35-A7F7-8A571C2F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rPr>
      <w:rFonts w:ascii="Aptos" w:hAnsi="Aptos"/>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4071</Words>
  <Characters>23210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 James</cp:lastModifiedBy>
  <cp:revision>2</cp:revision>
  <dcterms:created xsi:type="dcterms:W3CDTF">2026-09-17T08:27:00Z</dcterms:created>
  <dcterms:modified xsi:type="dcterms:W3CDTF">2026-09-17T08:27:00Z</dcterms:modified>
  <cp:category/>
</cp:coreProperties>
</file>